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914" w:rsidRPr="00220069" w:rsidRDefault="00362914" w:rsidP="00220069">
      <w:pPr>
        <w:widowControl w:val="0"/>
        <w:spacing w:line="360" w:lineRule="auto"/>
        <w:jc w:val="center"/>
        <w:rPr>
          <w:b/>
          <w:color w:val="000000"/>
        </w:rPr>
      </w:pPr>
      <w:r w:rsidRPr="00220069">
        <w:rPr>
          <w:b/>
          <w:color w:val="000000"/>
        </w:rPr>
        <w:t>A C U E R D O</w:t>
      </w:r>
    </w:p>
    <w:p w:rsidR="00362914" w:rsidRPr="00220069" w:rsidRDefault="00362914" w:rsidP="001421AC">
      <w:pPr>
        <w:widowControl w:val="0"/>
        <w:spacing w:line="360" w:lineRule="auto"/>
        <w:ind w:firstLine="1417"/>
        <w:jc w:val="both"/>
        <w:rPr>
          <w:color w:val="000000"/>
        </w:rPr>
      </w:pPr>
      <w:r w:rsidRPr="00220069">
        <w:rPr>
          <w:color w:val="000000"/>
        </w:rPr>
        <w:t>En la ciudad de La Plata, a</w:t>
      </w:r>
      <w:r w:rsidR="00220069" w:rsidRPr="00220069">
        <w:rPr>
          <w:color w:val="000000"/>
        </w:rPr>
        <w:t xml:space="preserve"> </w:t>
      </w:r>
      <w:r w:rsidR="000977EE">
        <w:rPr>
          <w:color w:val="000000"/>
        </w:rPr>
        <w:t>23</w:t>
      </w:r>
      <w:r w:rsidR="00220069" w:rsidRPr="00220069">
        <w:rPr>
          <w:color w:val="000000"/>
        </w:rPr>
        <w:t xml:space="preserve"> </w:t>
      </w:r>
      <w:r w:rsidRPr="00220069">
        <w:rPr>
          <w:color w:val="000000"/>
        </w:rPr>
        <w:t>de</w:t>
      </w:r>
      <w:r w:rsidR="001421AC">
        <w:rPr>
          <w:color w:val="000000"/>
        </w:rPr>
        <w:t xml:space="preserve"> octubre</w:t>
      </w:r>
      <w:r w:rsidR="00220069" w:rsidRPr="00220069">
        <w:rPr>
          <w:color w:val="000000"/>
        </w:rPr>
        <w:t xml:space="preserve"> de </w:t>
      </w:r>
      <w:r w:rsidR="000977EE">
        <w:rPr>
          <w:color w:val="000000"/>
        </w:rPr>
        <w:t>2019</w:t>
      </w:r>
      <w:r w:rsidRPr="00220069">
        <w:rPr>
          <w:color w:val="000000"/>
        </w:rPr>
        <w:t xml:space="preserve">, habiéndose establecido, de conformidad con lo dispuesto en el Acuerdo 2078, que deberá observarse el siguiente orden de votación: doctores </w:t>
      </w:r>
      <w:r w:rsidRPr="00220069">
        <w:rPr>
          <w:b/>
          <w:color w:val="000000"/>
        </w:rPr>
        <w:t xml:space="preserve">de </w:t>
      </w:r>
      <w:proofErr w:type="spellStart"/>
      <w:r w:rsidRPr="00220069">
        <w:rPr>
          <w:b/>
          <w:color w:val="000000"/>
        </w:rPr>
        <w:t>Lázzari</w:t>
      </w:r>
      <w:proofErr w:type="spellEnd"/>
      <w:r w:rsidRPr="00220069">
        <w:rPr>
          <w:b/>
          <w:color w:val="000000"/>
        </w:rPr>
        <w:t xml:space="preserve">, Soria, </w:t>
      </w:r>
      <w:proofErr w:type="spellStart"/>
      <w:r w:rsidRPr="00220069">
        <w:rPr>
          <w:b/>
          <w:color w:val="000000"/>
        </w:rPr>
        <w:t>Kogan</w:t>
      </w:r>
      <w:proofErr w:type="spellEnd"/>
      <w:r w:rsidRPr="00220069">
        <w:rPr>
          <w:b/>
          <w:color w:val="000000"/>
        </w:rPr>
        <w:t xml:space="preserve">, </w:t>
      </w:r>
      <w:proofErr w:type="spellStart"/>
      <w:r w:rsidRPr="00220069">
        <w:rPr>
          <w:b/>
          <w:color w:val="000000"/>
        </w:rPr>
        <w:t>Genoud</w:t>
      </w:r>
      <w:proofErr w:type="spellEnd"/>
      <w:r w:rsidRPr="00220069">
        <w:rPr>
          <w:b/>
          <w:color w:val="000000"/>
        </w:rPr>
        <w:t xml:space="preserve">, </w:t>
      </w:r>
      <w:r w:rsidRPr="00220069">
        <w:rPr>
          <w:color w:val="000000"/>
        </w:rPr>
        <w:t>se reúnen los señores Jueces de la Suprema Corte de Justicia en acuerdo ordinario para pronunciar sentencia definitiva en la causa P. 125.687 "V</w:t>
      </w:r>
      <w:r w:rsidR="00197F68">
        <w:rPr>
          <w:color w:val="000000"/>
        </w:rPr>
        <w:t>.</w:t>
      </w:r>
      <w:r w:rsidRPr="00220069">
        <w:rPr>
          <w:color w:val="000000"/>
        </w:rPr>
        <w:t>, R</w:t>
      </w:r>
      <w:r w:rsidR="00197F68">
        <w:rPr>
          <w:color w:val="000000"/>
        </w:rPr>
        <w:t>.</w:t>
      </w:r>
      <w:r w:rsidRPr="00220069">
        <w:rPr>
          <w:color w:val="000000"/>
        </w:rPr>
        <w:t xml:space="preserve"> E</w:t>
      </w:r>
      <w:r w:rsidR="00197F68">
        <w:rPr>
          <w:color w:val="000000"/>
        </w:rPr>
        <w:t>.</w:t>
      </w:r>
      <w:r w:rsidR="00220069" w:rsidRPr="00220069">
        <w:rPr>
          <w:color w:val="000000"/>
        </w:rPr>
        <w:t xml:space="preserve"> </w:t>
      </w:r>
      <w:r w:rsidR="00220069" w:rsidRPr="00220069">
        <w:rPr>
          <w:color w:val="000000"/>
        </w:rPr>
        <w:noBreakHyphen/>
      </w:r>
      <w:r w:rsidRPr="00220069">
        <w:rPr>
          <w:color w:val="000000"/>
        </w:rPr>
        <w:t>Particular damnificada- s/ Recurso de queja en causa n° 900.809 de la Cámara de Apelación y Garantías en lo Penal de Lomas de Zamora, Sala II</w:t>
      </w:r>
      <w:r w:rsidR="00220069" w:rsidRPr="00220069">
        <w:rPr>
          <w:color w:val="000000"/>
        </w:rPr>
        <w:t xml:space="preserve"> </w:t>
      </w:r>
      <w:r w:rsidR="00220069" w:rsidRPr="00220069">
        <w:rPr>
          <w:color w:val="000000"/>
        </w:rPr>
        <w:noBreakHyphen/>
      </w:r>
      <w:r w:rsidRPr="00220069">
        <w:rPr>
          <w:color w:val="000000"/>
        </w:rPr>
        <w:t>seguida a C</w:t>
      </w:r>
      <w:r w:rsidR="00197F68">
        <w:rPr>
          <w:color w:val="000000"/>
        </w:rPr>
        <w:t>.</w:t>
      </w:r>
      <w:r w:rsidRPr="00220069">
        <w:rPr>
          <w:color w:val="000000"/>
        </w:rPr>
        <w:t xml:space="preserve"> A</w:t>
      </w:r>
      <w:r w:rsidR="00197F68">
        <w:rPr>
          <w:color w:val="000000"/>
        </w:rPr>
        <w:t>.</w:t>
      </w:r>
      <w:r w:rsidRPr="00220069">
        <w:rPr>
          <w:color w:val="000000"/>
        </w:rPr>
        <w:t xml:space="preserve"> M</w:t>
      </w:r>
      <w:r w:rsidR="00197F68">
        <w:rPr>
          <w:color w:val="000000"/>
        </w:rPr>
        <w:t>.</w:t>
      </w:r>
      <w:r w:rsidRPr="00220069">
        <w:rPr>
          <w:color w:val="000000"/>
        </w:rPr>
        <w:t>-".</w:t>
      </w:r>
    </w:p>
    <w:p w:rsidR="00362914" w:rsidRPr="00220069" w:rsidRDefault="00362914" w:rsidP="00220069">
      <w:pPr>
        <w:widowControl w:val="0"/>
        <w:spacing w:line="360" w:lineRule="auto"/>
        <w:jc w:val="center"/>
        <w:rPr>
          <w:b/>
          <w:color w:val="000000"/>
        </w:rPr>
      </w:pPr>
      <w:r w:rsidRPr="00220069">
        <w:rPr>
          <w:b/>
          <w:color w:val="000000"/>
        </w:rPr>
        <w:t>A N T E C E D E N T E S</w:t>
      </w:r>
    </w:p>
    <w:p w:rsidR="00362914" w:rsidRPr="00220069" w:rsidRDefault="00362914" w:rsidP="00220069">
      <w:pPr>
        <w:widowControl w:val="0"/>
        <w:spacing w:line="360" w:lineRule="auto"/>
        <w:ind w:firstLine="1417"/>
        <w:jc w:val="both"/>
        <w:rPr>
          <w:color w:val="000000"/>
        </w:rPr>
      </w:pPr>
      <w:r w:rsidRPr="00220069">
        <w:rPr>
          <w:color w:val="000000"/>
        </w:rPr>
        <w:t>La Sala Segunda de la Cámara de Apelación y Garantías en lo Penal del Departamento Judicial de Lomas de Zamora, mediante el pronunciamiento dictado el 18 de septiembre de 2014, desestimó los recursos de apelación de la fiscalía y de la particular damnificada y, en consecuencia, ratificó la absolución de C</w:t>
      </w:r>
      <w:r w:rsidR="00197F68">
        <w:rPr>
          <w:color w:val="000000"/>
        </w:rPr>
        <w:t>.</w:t>
      </w:r>
      <w:r w:rsidRPr="00220069">
        <w:rPr>
          <w:color w:val="000000"/>
        </w:rPr>
        <w:t xml:space="preserve"> A</w:t>
      </w:r>
      <w:r w:rsidR="00197F68">
        <w:rPr>
          <w:color w:val="000000"/>
        </w:rPr>
        <w:t>.</w:t>
      </w:r>
      <w:r w:rsidRPr="00220069">
        <w:rPr>
          <w:color w:val="000000"/>
        </w:rPr>
        <w:t xml:space="preserve"> M</w:t>
      </w:r>
      <w:r w:rsidR="00197F68">
        <w:rPr>
          <w:color w:val="000000"/>
        </w:rPr>
        <w:t>.</w:t>
      </w:r>
      <w:r w:rsidRPr="00220069">
        <w:rPr>
          <w:color w:val="000000"/>
        </w:rPr>
        <w:t xml:space="preserve"> en orden al delito de abuso sexual simple (v. fs. 486/488).</w:t>
      </w:r>
    </w:p>
    <w:p w:rsidR="00362914" w:rsidRPr="00220069" w:rsidRDefault="00362914" w:rsidP="00220069">
      <w:pPr>
        <w:widowControl w:val="0"/>
        <w:spacing w:line="360" w:lineRule="auto"/>
        <w:ind w:firstLine="1417"/>
        <w:jc w:val="both"/>
        <w:rPr>
          <w:color w:val="000000"/>
          <w:szCs w:val="24"/>
        </w:rPr>
      </w:pPr>
      <w:r w:rsidRPr="00220069">
        <w:rPr>
          <w:color w:val="000000"/>
        </w:rPr>
        <w:t>La señora R</w:t>
      </w:r>
      <w:r w:rsidR="00202C4E">
        <w:rPr>
          <w:color w:val="000000"/>
        </w:rPr>
        <w:t>.</w:t>
      </w:r>
      <w:r w:rsidRPr="00220069">
        <w:rPr>
          <w:color w:val="000000"/>
        </w:rPr>
        <w:t xml:space="preserve"> E</w:t>
      </w:r>
      <w:r w:rsidR="00202C4E">
        <w:rPr>
          <w:color w:val="000000"/>
        </w:rPr>
        <w:t>.</w:t>
      </w:r>
      <w:r w:rsidRPr="00220069">
        <w:rPr>
          <w:color w:val="000000"/>
        </w:rPr>
        <w:t xml:space="preserve"> V</w:t>
      </w:r>
      <w:r w:rsidR="00202C4E">
        <w:rPr>
          <w:color w:val="000000"/>
        </w:rPr>
        <w:t>.</w:t>
      </w:r>
      <w:r w:rsidR="00220069" w:rsidRPr="00220069">
        <w:rPr>
          <w:color w:val="000000"/>
        </w:rPr>
        <w:t xml:space="preserve"> </w:t>
      </w:r>
      <w:r w:rsidR="00220069" w:rsidRPr="00220069">
        <w:rPr>
          <w:color w:val="000000"/>
        </w:rPr>
        <w:noBreakHyphen/>
      </w:r>
      <w:r w:rsidRPr="00220069">
        <w:rPr>
          <w:color w:val="000000"/>
        </w:rPr>
        <w:t>en su carácter de particular damnificada- con el patrocinio letrado del doctor Marcelo Manu</w:t>
      </w:r>
      <w:bookmarkStart w:id="0" w:name="_GoBack"/>
      <w:bookmarkEnd w:id="0"/>
      <w:r w:rsidRPr="00220069">
        <w:rPr>
          <w:color w:val="000000"/>
        </w:rPr>
        <w:t>el Magdalena dedujo recurso extraordinario de inaplicabilidad de ley (v. fs. 460/484), el que fue declarado inadmisible por el Tribunal de Alzada (v. fs. 486/488). Contra esa decisión, esa parte articuló queja en los términos del art. 486 bis del Código Procesal Penal (v. fs. 582/591 vta.)</w:t>
      </w:r>
      <w:r w:rsidRPr="00220069">
        <w:rPr>
          <w:color w:val="000000"/>
          <w:szCs w:val="24"/>
        </w:rPr>
        <w:t xml:space="preserve">. Por resolución del 17 de agosto de 2016, este Cuerpo admitió la misma y concedió la vía extraordinaria en trato (v. fs. 595/596 vta.). </w:t>
      </w:r>
    </w:p>
    <w:p w:rsidR="00362914" w:rsidRPr="00220069" w:rsidRDefault="00362914" w:rsidP="00220069">
      <w:pPr>
        <w:widowControl w:val="0"/>
        <w:spacing w:line="360" w:lineRule="auto"/>
        <w:ind w:firstLine="1417"/>
        <w:jc w:val="both"/>
        <w:rPr>
          <w:color w:val="000000"/>
        </w:rPr>
      </w:pPr>
      <w:r w:rsidRPr="00220069">
        <w:rPr>
          <w:color w:val="000000"/>
        </w:rPr>
        <w:t xml:space="preserve">Oído el señor Procurador General (v. fs. 612/620 </w:t>
      </w:r>
      <w:r w:rsidRPr="00220069">
        <w:rPr>
          <w:color w:val="000000"/>
        </w:rPr>
        <w:lastRenderedPageBreak/>
        <w:t>vta.), dictada la provid</w:t>
      </w:r>
      <w:r w:rsidR="007E20B9">
        <w:rPr>
          <w:color w:val="000000"/>
        </w:rPr>
        <w:t>encia de autos a fs. 621, y encontr</w:t>
      </w:r>
      <w:r w:rsidRPr="00220069">
        <w:rPr>
          <w:color w:val="000000"/>
        </w:rPr>
        <w:t>ándose la causa en estado de pronunciar s</w:t>
      </w:r>
      <w:r w:rsidR="007E20B9">
        <w:rPr>
          <w:color w:val="000000"/>
        </w:rPr>
        <w:t>entencia, la Suprema Corte resolv</w:t>
      </w:r>
      <w:r w:rsidRPr="00220069">
        <w:rPr>
          <w:color w:val="000000"/>
        </w:rPr>
        <w:t>ió plantear y votar la siguiente</w:t>
      </w:r>
    </w:p>
    <w:p w:rsidR="00362914" w:rsidRPr="00220069" w:rsidRDefault="00220069" w:rsidP="00220069">
      <w:pPr>
        <w:widowControl w:val="0"/>
        <w:spacing w:line="360" w:lineRule="auto"/>
        <w:jc w:val="center"/>
        <w:rPr>
          <w:b/>
          <w:color w:val="000000"/>
        </w:rPr>
      </w:pPr>
      <w:r w:rsidRPr="00220069">
        <w:rPr>
          <w:b/>
          <w:color w:val="000000"/>
        </w:rPr>
        <w:t xml:space="preserve">C U E S T I </w:t>
      </w:r>
      <w:proofErr w:type="spellStart"/>
      <w:r w:rsidRPr="00220069">
        <w:rPr>
          <w:b/>
          <w:color w:val="000000"/>
        </w:rPr>
        <w:t>Ó</w:t>
      </w:r>
      <w:proofErr w:type="spellEnd"/>
      <w:r w:rsidRPr="00220069">
        <w:rPr>
          <w:b/>
          <w:color w:val="000000"/>
        </w:rPr>
        <w:t xml:space="preserve"> N</w:t>
      </w:r>
    </w:p>
    <w:p w:rsidR="00362914" w:rsidRPr="00220069" w:rsidRDefault="00362914" w:rsidP="00220069">
      <w:pPr>
        <w:widowControl w:val="0"/>
        <w:spacing w:line="360" w:lineRule="auto"/>
        <w:ind w:firstLine="1417"/>
        <w:jc w:val="both"/>
        <w:rPr>
          <w:color w:val="000000"/>
        </w:rPr>
      </w:pPr>
      <w:r w:rsidRPr="00220069">
        <w:rPr>
          <w:color w:val="000000"/>
        </w:rPr>
        <w:t>¿Es fundado el recurso extraordinario de inaplicabilidad de ley interpuesto?</w:t>
      </w:r>
    </w:p>
    <w:p w:rsidR="00362914" w:rsidRPr="00220069" w:rsidRDefault="00220069" w:rsidP="00220069">
      <w:pPr>
        <w:widowControl w:val="0"/>
        <w:spacing w:line="360" w:lineRule="auto"/>
        <w:jc w:val="center"/>
        <w:rPr>
          <w:b/>
          <w:color w:val="000000"/>
        </w:rPr>
      </w:pPr>
      <w:r w:rsidRPr="00220069">
        <w:rPr>
          <w:b/>
          <w:color w:val="000000"/>
        </w:rPr>
        <w:t xml:space="preserve">V O T A C I </w:t>
      </w:r>
      <w:proofErr w:type="spellStart"/>
      <w:r w:rsidRPr="00220069">
        <w:rPr>
          <w:b/>
          <w:color w:val="000000"/>
        </w:rPr>
        <w:t>Ó</w:t>
      </w:r>
      <w:proofErr w:type="spellEnd"/>
      <w:r w:rsidRPr="00220069">
        <w:rPr>
          <w:b/>
          <w:color w:val="000000"/>
        </w:rPr>
        <w:t xml:space="preserve"> N</w:t>
      </w:r>
    </w:p>
    <w:p w:rsidR="00362914" w:rsidRPr="00220069" w:rsidRDefault="00362914" w:rsidP="00220069">
      <w:pPr>
        <w:widowControl w:val="0"/>
        <w:spacing w:line="360" w:lineRule="auto"/>
        <w:ind w:firstLine="1417"/>
        <w:jc w:val="both"/>
        <w:rPr>
          <w:b/>
          <w:color w:val="000000"/>
        </w:rPr>
      </w:pPr>
      <w:r w:rsidRPr="00220069">
        <w:rPr>
          <w:b/>
          <w:color w:val="000000"/>
        </w:rPr>
        <w:t xml:space="preserve">A la cuestión planteada, el señor Juez doctor de </w:t>
      </w:r>
      <w:proofErr w:type="spellStart"/>
      <w:r w:rsidRPr="00220069">
        <w:rPr>
          <w:b/>
          <w:color w:val="000000"/>
        </w:rPr>
        <w:t>Lázzari</w:t>
      </w:r>
      <w:proofErr w:type="spellEnd"/>
      <w:r w:rsidRPr="00220069">
        <w:rPr>
          <w:b/>
          <w:color w:val="000000"/>
        </w:rPr>
        <w:t xml:space="preserve"> dijo:</w:t>
      </w:r>
    </w:p>
    <w:p w:rsidR="00362914" w:rsidRPr="00220069" w:rsidRDefault="00362914" w:rsidP="00220069">
      <w:pPr>
        <w:widowControl w:val="0"/>
        <w:spacing w:line="360" w:lineRule="auto"/>
        <w:ind w:firstLine="1417"/>
        <w:jc w:val="both"/>
        <w:rPr>
          <w:color w:val="000000"/>
        </w:rPr>
      </w:pPr>
      <w:r w:rsidRPr="00220069">
        <w:rPr>
          <w:color w:val="000000"/>
        </w:rPr>
        <w:t>I. El hecho por el cual se dictó absolución en las dos instancias previas fue calificado en la requisitoria fiscal como abuso sexual simple en los términos del art. 119, párrafo 1 del Código Penal y descripto del siguiente modo: "En fecha indeterminada pero en el período de tiempo comprendido entre el 14 de noviembre de 2005 y el 20 de noviembre de 2008, en la oficina contigua al drugstore de la estación de servicios Shell, [</w:t>
      </w:r>
      <w:r w:rsidR="00220069" w:rsidRPr="00220069">
        <w:rPr>
          <w:color w:val="000000"/>
        </w:rPr>
        <w:t>...</w:t>
      </w:r>
      <w:r w:rsidRPr="00220069">
        <w:rPr>
          <w:color w:val="000000"/>
        </w:rPr>
        <w:t>] de la localidad y partido de Lanús, el Sr. C</w:t>
      </w:r>
      <w:r w:rsidR="00197F68">
        <w:rPr>
          <w:color w:val="000000"/>
        </w:rPr>
        <w:t>.</w:t>
      </w:r>
      <w:r w:rsidRPr="00220069">
        <w:rPr>
          <w:color w:val="000000"/>
        </w:rPr>
        <w:t xml:space="preserve"> A</w:t>
      </w:r>
      <w:r w:rsidR="00197F68">
        <w:rPr>
          <w:color w:val="000000"/>
        </w:rPr>
        <w:t>.</w:t>
      </w:r>
      <w:r w:rsidRPr="00220069">
        <w:rPr>
          <w:color w:val="000000"/>
        </w:rPr>
        <w:t xml:space="preserve"> M</w:t>
      </w:r>
      <w:r w:rsidR="00197F68">
        <w:rPr>
          <w:color w:val="000000"/>
        </w:rPr>
        <w:t>.</w:t>
      </w:r>
      <w:r w:rsidRPr="00220069">
        <w:rPr>
          <w:color w:val="000000"/>
        </w:rPr>
        <w:t>, aprovechando la relación de dependencia que lo unía con la Srta. R</w:t>
      </w:r>
      <w:r w:rsidR="00197F68">
        <w:rPr>
          <w:color w:val="000000"/>
        </w:rPr>
        <w:t>.</w:t>
      </w:r>
      <w:r w:rsidRPr="00220069">
        <w:rPr>
          <w:color w:val="000000"/>
        </w:rPr>
        <w:t xml:space="preserve"> E</w:t>
      </w:r>
      <w:r w:rsidR="00197F68">
        <w:rPr>
          <w:color w:val="000000"/>
        </w:rPr>
        <w:t>.</w:t>
      </w:r>
      <w:r w:rsidRPr="00220069">
        <w:rPr>
          <w:color w:val="000000"/>
        </w:rPr>
        <w:t xml:space="preserve"> V</w:t>
      </w:r>
      <w:r w:rsidR="00197F68">
        <w:rPr>
          <w:color w:val="000000"/>
        </w:rPr>
        <w:t>.</w:t>
      </w:r>
      <w:r w:rsidRPr="00220069">
        <w:rPr>
          <w:color w:val="000000"/>
        </w:rPr>
        <w:t>, empleada del establecimiento, abusó sexualmente de ésta última, en el horario de trabajo cumplido por la empleada, mediante tocamientos inverecundos en los glúteos" (fs. 372 vta.).</w:t>
      </w:r>
    </w:p>
    <w:p w:rsidR="00362914" w:rsidRPr="00220069" w:rsidRDefault="00362914" w:rsidP="00220069">
      <w:pPr>
        <w:widowControl w:val="0"/>
        <w:spacing w:line="360" w:lineRule="auto"/>
        <w:ind w:firstLine="1417"/>
        <w:jc w:val="both"/>
        <w:rPr>
          <w:color w:val="000000"/>
        </w:rPr>
      </w:pPr>
      <w:r w:rsidRPr="00220069">
        <w:rPr>
          <w:color w:val="000000"/>
        </w:rPr>
        <w:t xml:space="preserve">II. Ante esta Corte la recurrente alegó la falta absoluta de perspectiva de género en el enfoque de juzgamiento del caso de violencia contra la mujer denunciado (v. fs. 469 vta.). Sostuvo que el acoso y el abuso sexual de mujeres en el ámbito laboral es una de las manifestaciones de la violencia de género de mayor crecimiento en los últimos años, por lo que entendió que </w:t>
      </w:r>
      <w:r w:rsidRPr="00220069">
        <w:rPr>
          <w:color w:val="000000"/>
        </w:rPr>
        <w:lastRenderedPageBreak/>
        <w:t>dicha situación reclama en nuestro país un adecuado tratamiento en el marco del derecho penal.</w:t>
      </w:r>
    </w:p>
    <w:p w:rsidR="00362914" w:rsidRPr="00220069" w:rsidRDefault="00362914" w:rsidP="00220069">
      <w:pPr>
        <w:widowControl w:val="0"/>
        <w:spacing w:line="360" w:lineRule="auto"/>
        <w:ind w:firstLine="1417"/>
        <w:jc w:val="both"/>
        <w:rPr>
          <w:color w:val="000000"/>
        </w:rPr>
      </w:pPr>
      <w:r w:rsidRPr="00220069">
        <w:rPr>
          <w:color w:val="000000"/>
        </w:rPr>
        <w:t>Aludió a que muchas veces las mujeres cargan con el estereotipo de ser quien provoca al abusador, cuando en realidad son las víctimas del mismo (v. fs. 470). Y que esa mirada es también una forma de violencia de género que fortalece el desequilibrio cultural a favor del hombre y en desmedro de la mujer, reduciéndola a un objeto sexual.</w:t>
      </w:r>
    </w:p>
    <w:p w:rsidR="00362914" w:rsidRPr="00220069" w:rsidRDefault="00362914" w:rsidP="00220069">
      <w:pPr>
        <w:widowControl w:val="0"/>
        <w:spacing w:line="360" w:lineRule="auto"/>
        <w:ind w:firstLine="1417"/>
        <w:jc w:val="both"/>
        <w:rPr>
          <w:color w:val="000000"/>
        </w:rPr>
      </w:pPr>
      <w:r w:rsidRPr="00220069">
        <w:rPr>
          <w:color w:val="000000"/>
        </w:rPr>
        <w:t>En apoyo de su postura trajo a colación fallos de la Corte Interamericana de Derechos Humanos como así también la Convención sobre la Eliminación de todas las formas de Discriminación contra la Mujer que en su preámbulo refiere a la existencia de la relación social de poder y dominación desigual y discriminatoria en demérito de las mujeres (v. fs. 470 y vta.).</w:t>
      </w:r>
    </w:p>
    <w:p w:rsidR="00362914" w:rsidRPr="00220069" w:rsidRDefault="00362914" w:rsidP="00220069">
      <w:pPr>
        <w:widowControl w:val="0"/>
        <w:spacing w:line="360" w:lineRule="auto"/>
        <w:ind w:firstLine="1417"/>
        <w:jc w:val="both"/>
        <w:rPr>
          <w:color w:val="000000"/>
        </w:rPr>
      </w:pPr>
      <w:r w:rsidRPr="00220069">
        <w:rPr>
          <w:color w:val="000000"/>
        </w:rPr>
        <w:t>Señaló que pese al derecho a la igualdad consagrado en nuestra Constitución nacional desde 1853, las mujeres continúan siendo un grupo que sufre discriminaciones a partir de su género y que ello se ve reflejado</w:t>
      </w:r>
      <w:r w:rsidR="00220069" w:rsidRPr="00220069">
        <w:rPr>
          <w:color w:val="000000"/>
        </w:rPr>
        <w:t xml:space="preserve"> </w:t>
      </w:r>
      <w:r w:rsidR="00220069" w:rsidRPr="00220069">
        <w:rPr>
          <w:color w:val="000000"/>
        </w:rPr>
        <w:noBreakHyphen/>
      </w:r>
      <w:r w:rsidRPr="00220069">
        <w:rPr>
          <w:color w:val="000000"/>
        </w:rPr>
        <w:t>asimismo- cuando deben recurrir a los tribunales de justicia a fin de lograr la resolución de un conflicto, tal como ocurre en este caso (v. fs. 471).</w:t>
      </w:r>
    </w:p>
    <w:p w:rsidR="00362914" w:rsidRPr="00220069" w:rsidRDefault="00362914" w:rsidP="00220069">
      <w:pPr>
        <w:widowControl w:val="0"/>
        <w:spacing w:line="360" w:lineRule="auto"/>
        <w:ind w:firstLine="1417"/>
        <w:jc w:val="both"/>
        <w:rPr>
          <w:color w:val="000000"/>
        </w:rPr>
      </w:pPr>
      <w:r w:rsidRPr="00220069">
        <w:rPr>
          <w:color w:val="000000"/>
        </w:rPr>
        <w:t xml:space="preserve">Alegó que en la sentencia de la Sala Segunda, sólo en el voto del doctor Little se hace una mención, aunque dogmática, de la valoración de la prueba con relación a la normativa de la ley 26.485 y a la Convención de Belém do Pará, satisfaciendo de modo aparente la exigencia de adecuada fundamentación, pues los </w:t>
      </w:r>
      <w:proofErr w:type="spellStart"/>
      <w:r w:rsidRPr="00220069">
        <w:rPr>
          <w:color w:val="000000"/>
        </w:rPr>
        <w:t>sentenciantes</w:t>
      </w:r>
      <w:proofErr w:type="spellEnd"/>
      <w:r w:rsidRPr="00220069">
        <w:rPr>
          <w:color w:val="000000"/>
        </w:rPr>
        <w:t xml:space="preserve"> omitieron evaluar los agravios planteados por esa parte (v. fs. 472).</w:t>
      </w:r>
    </w:p>
    <w:p w:rsidR="00362914" w:rsidRPr="00220069" w:rsidRDefault="00362914" w:rsidP="00220069">
      <w:pPr>
        <w:widowControl w:val="0"/>
        <w:spacing w:line="360" w:lineRule="auto"/>
        <w:ind w:firstLine="1417"/>
        <w:jc w:val="both"/>
        <w:rPr>
          <w:color w:val="000000"/>
        </w:rPr>
      </w:pPr>
      <w:r w:rsidRPr="00220069">
        <w:rPr>
          <w:color w:val="000000"/>
        </w:rPr>
        <w:lastRenderedPageBreak/>
        <w:t>Por ello, tachó de arbitrario el fallo por carecer de la debida perspectiva de género en la valoración de los hechos y las pruebas, lo cual según dijo "</w:t>
      </w:r>
      <w:r w:rsidR="00220069" w:rsidRPr="00220069">
        <w:rPr>
          <w:color w:val="000000"/>
        </w:rPr>
        <w:t>...</w:t>
      </w:r>
      <w:r w:rsidRPr="00220069">
        <w:rPr>
          <w:color w:val="000000"/>
        </w:rPr>
        <w:t>significa que los jueces no tomaron real y efectivamente en consideración la relación social y cultural de poder y dominación desigual y discriminatoria que nos perjudica a las mujeres, ni las características del contexto en las que se desarrolló el hecho de violencia de género que me ha tocado padecer a manos del encartado (relación laboral de dependencia con el agresor)" (fs. 472). Explicó también que fue despedida por no haber accedido a las "apetencias del abusador sexual" (fs. 470).</w:t>
      </w:r>
    </w:p>
    <w:p w:rsidR="00362914" w:rsidRPr="00220069" w:rsidRDefault="00362914" w:rsidP="00220069">
      <w:pPr>
        <w:widowControl w:val="0"/>
        <w:spacing w:line="360" w:lineRule="auto"/>
        <w:ind w:firstLine="1417"/>
        <w:jc w:val="both"/>
        <w:rPr>
          <w:color w:val="000000"/>
        </w:rPr>
      </w:pPr>
      <w:r w:rsidRPr="00220069">
        <w:rPr>
          <w:color w:val="000000"/>
        </w:rPr>
        <w:t>La recurrente alegó que es indudable la prueba de la falta de consentimiento de la víctima respecto de los tocamientos de índole sexual y controvirtió el argumento empleado por la Cámara a ese respecto. La defensa objetó que, según la Cámara, una pretendida relación íntima</w:t>
      </w:r>
      <w:r w:rsidR="00220069" w:rsidRPr="00220069">
        <w:rPr>
          <w:color w:val="000000"/>
        </w:rPr>
        <w:t xml:space="preserve"> </w:t>
      </w:r>
      <w:r w:rsidR="00220069" w:rsidRPr="00220069">
        <w:rPr>
          <w:color w:val="000000"/>
        </w:rPr>
        <w:noBreakHyphen/>
      </w:r>
      <w:r w:rsidRPr="00220069">
        <w:rPr>
          <w:color w:val="000000"/>
        </w:rPr>
        <w:t>que, además, negó- entre la víctima y el victimario implicaría consentir que el hombre, en todo momento y lugar, dispusiera del cuerpo de la mujer para manosearlo a su antojo, con lo cual su conducta sería atípica (v. fs. 474 y sigs.).</w:t>
      </w:r>
    </w:p>
    <w:p w:rsidR="00362914" w:rsidRPr="00220069" w:rsidRDefault="00362914" w:rsidP="00220069">
      <w:pPr>
        <w:widowControl w:val="0"/>
        <w:spacing w:line="360" w:lineRule="auto"/>
        <w:ind w:firstLine="1417"/>
        <w:jc w:val="both"/>
        <w:rPr>
          <w:color w:val="000000"/>
        </w:rPr>
      </w:pPr>
      <w:r w:rsidRPr="00220069">
        <w:rPr>
          <w:color w:val="000000"/>
        </w:rPr>
        <w:t xml:space="preserve">La parte sostiene que, </w:t>
      </w:r>
      <w:proofErr w:type="spellStart"/>
      <w:r w:rsidRPr="00220069">
        <w:rPr>
          <w:color w:val="000000"/>
        </w:rPr>
        <w:t>a</w:t>
      </w:r>
      <w:proofErr w:type="spellEnd"/>
      <w:r w:rsidRPr="00220069">
        <w:rPr>
          <w:color w:val="000000"/>
        </w:rPr>
        <w:t xml:space="preserve"> contrario de lo concluido por el Tribunal de Alzada, la damnificada fue categórica "</w:t>
      </w:r>
      <w:r w:rsidR="00220069" w:rsidRPr="00220069">
        <w:rPr>
          <w:color w:val="000000"/>
        </w:rPr>
        <w:t>...</w:t>
      </w:r>
      <w:r w:rsidRPr="00220069">
        <w:rPr>
          <w:color w:val="000000"/>
        </w:rPr>
        <w:t xml:space="preserve">en todas sus deposiciones respecto de la negativa ante los tocamientos inverecundos del encausado" (fs. 475 y vta.), y que el fallo atacado revela concepciones estereotipadas, soslayando o descalificando su declaración a pesar de que, según la Corte Interamericana, constituye el elemento probatorio </w:t>
      </w:r>
      <w:r w:rsidRPr="00220069">
        <w:rPr>
          <w:color w:val="000000"/>
        </w:rPr>
        <w:lastRenderedPageBreak/>
        <w:t>fundamental en este tipo de procesos pues "</w:t>
      </w:r>
      <w:r w:rsidR="00220069" w:rsidRPr="00220069">
        <w:rPr>
          <w:color w:val="000000"/>
        </w:rPr>
        <w:t>...</w:t>
      </w:r>
      <w:r w:rsidRPr="00220069">
        <w:rPr>
          <w:color w:val="000000"/>
        </w:rPr>
        <w:t>en un contexto judicial que incluya la perspectiva de género, se debe tener presente con fundamental relevancia, la declaración testimonial de esta víctima</w:t>
      </w:r>
      <w:r w:rsidR="00220069" w:rsidRPr="00220069">
        <w:rPr>
          <w:color w:val="000000"/>
        </w:rPr>
        <w:t>...</w:t>
      </w:r>
      <w:r w:rsidRPr="00220069">
        <w:rPr>
          <w:color w:val="000000"/>
        </w:rPr>
        <w:t>" (fs. 476).</w:t>
      </w:r>
    </w:p>
    <w:p w:rsidR="00362914" w:rsidRPr="00220069" w:rsidRDefault="00362914" w:rsidP="00220069">
      <w:pPr>
        <w:widowControl w:val="0"/>
        <w:spacing w:line="360" w:lineRule="auto"/>
        <w:ind w:firstLine="1417"/>
        <w:jc w:val="both"/>
        <w:rPr>
          <w:color w:val="000000"/>
        </w:rPr>
      </w:pPr>
      <w:r w:rsidRPr="00220069">
        <w:rPr>
          <w:color w:val="000000"/>
        </w:rPr>
        <w:t>Planteó que, además, existe prueba testimonial</w:t>
      </w:r>
      <w:r w:rsidR="00220069" w:rsidRPr="00220069">
        <w:rPr>
          <w:color w:val="000000"/>
        </w:rPr>
        <w:t xml:space="preserve"> </w:t>
      </w:r>
      <w:r w:rsidR="00220069" w:rsidRPr="00220069">
        <w:rPr>
          <w:color w:val="000000"/>
        </w:rPr>
        <w:noBreakHyphen/>
      </w:r>
      <w:r w:rsidRPr="00220069">
        <w:rPr>
          <w:color w:val="000000"/>
        </w:rPr>
        <w:t>que analizó</w:t>
      </w:r>
      <w:r w:rsidR="000A69A6">
        <w:rPr>
          <w:color w:val="000000"/>
        </w:rPr>
        <w:t xml:space="preserve"> más adelante, a fs. 476 y siguientes</w:t>
      </w:r>
      <w:r w:rsidRPr="00220069">
        <w:rPr>
          <w:color w:val="000000"/>
        </w:rPr>
        <w:t>- que corrobora los dichos de la denunciante e insistió en que, aun cuando se tratara de una relación amorosa, la mujer no quedaba privada de protección penal en caso de faltar su consentimiento (v. fs. 476 vta. y 477).</w:t>
      </w:r>
    </w:p>
    <w:p w:rsidR="00362914" w:rsidRPr="00220069" w:rsidRDefault="00362914" w:rsidP="00220069">
      <w:pPr>
        <w:widowControl w:val="0"/>
        <w:spacing w:line="360" w:lineRule="auto"/>
        <w:ind w:firstLine="1417"/>
        <w:jc w:val="both"/>
        <w:rPr>
          <w:color w:val="000000"/>
        </w:rPr>
      </w:pPr>
      <w:r w:rsidRPr="00220069">
        <w:rPr>
          <w:color w:val="000000"/>
        </w:rPr>
        <w:t xml:space="preserve">Al alegar sobre las probanzas, la defensa se ocupó de las objeciones a los testimonios que corroboraban la versión de la víctima (testigos cuya credibilidad fue puesta en duda por tener acciones legales iniciadas contra el acusado), se refirió al mérito de quienes depusieron a favor del imputado así como a la aplicación del principio de la duda, y resaltó los dichos de quienes no tenían pleito alguno con aquél (v. fs. 477 y sigs.). </w:t>
      </w:r>
    </w:p>
    <w:p w:rsidR="00362914" w:rsidRPr="00220069" w:rsidRDefault="00362914" w:rsidP="00220069">
      <w:pPr>
        <w:widowControl w:val="0"/>
        <w:spacing w:line="360" w:lineRule="auto"/>
        <w:ind w:firstLine="1417"/>
        <w:jc w:val="both"/>
        <w:rPr>
          <w:color w:val="000000"/>
        </w:rPr>
      </w:pPr>
      <w:r w:rsidRPr="00220069">
        <w:rPr>
          <w:color w:val="000000"/>
        </w:rPr>
        <w:t>Para concluir su fundamentación sobre el vicio de arbitrariedad y la falta de perspectiva de género en la valoración probatoria, analizó las conclusiones de las pericias psicológicas practicadas a las partes (v. fs. 482).</w:t>
      </w:r>
    </w:p>
    <w:p w:rsidR="00362914" w:rsidRPr="00220069" w:rsidRDefault="00362914" w:rsidP="00220069">
      <w:pPr>
        <w:widowControl w:val="0"/>
        <w:spacing w:line="360" w:lineRule="auto"/>
        <w:ind w:firstLine="1417"/>
        <w:jc w:val="both"/>
        <w:rPr>
          <w:color w:val="000000"/>
        </w:rPr>
      </w:pPr>
      <w:r w:rsidRPr="00220069">
        <w:rPr>
          <w:color w:val="000000"/>
        </w:rPr>
        <w:t>III. El señor Procurador General propició el acogimiento del remedio intentado (v. fs. 612/620 vta.), y así corresponde resolver, según se verá a continuación.</w:t>
      </w:r>
    </w:p>
    <w:p w:rsidR="00362914" w:rsidRPr="00220069" w:rsidRDefault="00362914" w:rsidP="00220069">
      <w:pPr>
        <w:widowControl w:val="0"/>
        <w:spacing w:line="360" w:lineRule="auto"/>
        <w:ind w:firstLine="1417"/>
        <w:jc w:val="both"/>
        <w:rPr>
          <w:color w:val="000000"/>
        </w:rPr>
      </w:pPr>
      <w:r w:rsidRPr="00220069">
        <w:rPr>
          <w:color w:val="000000"/>
        </w:rPr>
        <w:t>IV. La Cámara de Apelación y Garantías confirmó el veredicto absolutorio dictado en la instancia de mérito.</w:t>
      </w:r>
    </w:p>
    <w:p w:rsidR="00362914" w:rsidRPr="00220069" w:rsidRDefault="00362914" w:rsidP="00220069">
      <w:pPr>
        <w:widowControl w:val="0"/>
        <w:spacing w:line="360" w:lineRule="auto"/>
        <w:ind w:firstLine="1417"/>
        <w:jc w:val="both"/>
        <w:rPr>
          <w:color w:val="000000"/>
        </w:rPr>
      </w:pPr>
      <w:r w:rsidRPr="00220069">
        <w:rPr>
          <w:color w:val="000000"/>
        </w:rPr>
        <w:t xml:space="preserve">El doctor </w:t>
      </w:r>
      <w:proofErr w:type="spellStart"/>
      <w:r w:rsidRPr="00220069">
        <w:rPr>
          <w:color w:val="000000"/>
        </w:rPr>
        <w:t>Soukop</w:t>
      </w:r>
      <w:proofErr w:type="spellEnd"/>
      <w:r w:rsidR="00220069" w:rsidRPr="00220069">
        <w:rPr>
          <w:color w:val="000000"/>
        </w:rPr>
        <w:t xml:space="preserve"> </w:t>
      </w:r>
      <w:r w:rsidR="00220069" w:rsidRPr="00220069">
        <w:rPr>
          <w:color w:val="000000"/>
        </w:rPr>
        <w:noBreakHyphen/>
      </w:r>
      <w:r w:rsidRPr="00220069">
        <w:rPr>
          <w:color w:val="000000"/>
        </w:rPr>
        <w:t xml:space="preserve">que inauguró el acuerdo- </w:t>
      </w:r>
      <w:r w:rsidRPr="00220069">
        <w:rPr>
          <w:color w:val="000000"/>
        </w:rPr>
        <w:lastRenderedPageBreak/>
        <w:t xml:space="preserve">señaló (v. fs. 444 y sigs.): </w:t>
      </w:r>
    </w:p>
    <w:p w:rsidR="00362914" w:rsidRPr="00220069" w:rsidRDefault="00362914" w:rsidP="00220069">
      <w:pPr>
        <w:widowControl w:val="0"/>
        <w:spacing w:line="360" w:lineRule="auto"/>
        <w:ind w:firstLine="1417"/>
        <w:jc w:val="both"/>
        <w:rPr>
          <w:color w:val="000000"/>
        </w:rPr>
      </w:pPr>
      <w:r w:rsidRPr="00220069">
        <w:rPr>
          <w:color w:val="000000"/>
        </w:rPr>
        <w:t>"</w:t>
      </w:r>
      <w:r w:rsidR="00220069" w:rsidRPr="00220069">
        <w:rPr>
          <w:color w:val="000000"/>
        </w:rPr>
        <w:t>...</w:t>
      </w:r>
      <w:r w:rsidRPr="00220069">
        <w:rPr>
          <w:color w:val="000000"/>
        </w:rPr>
        <w:t xml:space="preserve">la lectura de la sentencia, de impecable factura, nos revela una cuidadosa síntesis inicial en orden a las líneas argumentales de la Fiscalía, el particular damnificado, como de la Defensa, repasando luego las versiones que a lo largo del debate expusieron los múltiples testigos, para recalar en caracterizada doctrina y precedentes jurisprudenciales sobre aquellas aristas y notas que caracterizan los distintos sistemas de valoración de la prueba, incluyendo en ello la normativa del art. 31 ley 26485, el precedente 'Leiva M.C.' de la CSN, y la Convención de Belem do Pará (conf. </w:t>
      </w:r>
      <w:proofErr w:type="gramStart"/>
      <w:r w:rsidRPr="00220069">
        <w:rPr>
          <w:color w:val="000000"/>
        </w:rPr>
        <w:t>ley</w:t>
      </w:r>
      <w:proofErr w:type="gramEnd"/>
      <w:r w:rsidRPr="00220069">
        <w:rPr>
          <w:color w:val="000000"/>
        </w:rPr>
        <w:t xml:space="preserve"> 24632)"</w:t>
      </w:r>
    </w:p>
    <w:p w:rsidR="00362914" w:rsidRPr="00220069" w:rsidRDefault="00362914" w:rsidP="00220069">
      <w:pPr>
        <w:widowControl w:val="0"/>
        <w:spacing w:line="360" w:lineRule="auto"/>
        <w:ind w:firstLine="1417"/>
        <w:jc w:val="both"/>
        <w:rPr>
          <w:color w:val="000000"/>
        </w:rPr>
      </w:pPr>
      <w:r w:rsidRPr="00220069">
        <w:rPr>
          <w:color w:val="000000"/>
        </w:rPr>
        <w:t xml:space="preserve">"Antes de adentrarnos en el detallado análisis de la prueba producida, el </w:t>
      </w:r>
      <w:proofErr w:type="spellStart"/>
      <w:r w:rsidRPr="00220069">
        <w:rPr>
          <w:color w:val="000000"/>
        </w:rPr>
        <w:t>sentenciante</w:t>
      </w:r>
      <w:proofErr w:type="spellEnd"/>
      <w:r w:rsidRPr="00220069">
        <w:rPr>
          <w:color w:val="000000"/>
        </w:rPr>
        <w:t xml:space="preserve"> considera estructurado el cargo en la directa imputación que efectúa la denunciante, abonada por el único testigo</w:t>
      </w:r>
      <w:r w:rsidR="00220069" w:rsidRPr="00220069">
        <w:rPr>
          <w:color w:val="000000"/>
        </w:rPr>
        <w:t xml:space="preserve"> </w:t>
      </w:r>
      <w:r w:rsidR="006D12A3">
        <w:rPr>
          <w:color w:val="000000"/>
        </w:rPr>
        <w:t>–</w:t>
      </w:r>
      <w:r w:rsidRPr="00220069">
        <w:rPr>
          <w:color w:val="000000"/>
        </w:rPr>
        <w:t>F</w:t>
      </w:r>
      <w:r w:rsidR="006D12A3">
        <w:rPr>
          <w:color w:val="000000"/>
        </w:rPr>
        <w:t>.</w:t>
      </w:r>
      <w:r w:rsidRPr="00220069">
        <w:rPr>
          <w:color w:val="000000"/>
        </w:rPr>
        <w:t>-, que refiere haber observado los tocamientos en los glúteos</w:t>
      </w:r>
      <w:r w:rsidR="00220069" w:rsidRPr="00220069">
        <w:rPr>
          <w:color w:val="000000"/>
        </w:rPr>
        <w:t xml:space="preserve"> </w:t>
      </w:r>
      <w:r w:rsidR="00220069" w:rsidRPr="00220069">
        <w:rPr>
          <w:color w:val="000000"/>
        </w:rPr>
        <w:noBreakHyphen/>
      </w:r>
      <w:r w:rsidRPr="00220069">
        <w:rPr>
          <w:color w:val="000000"/>
        </w:rPr>
        <w:t xml:space="preserve">únicos indicados en la intimación-, aunado a otros hechos de naturaleza semejante, pero ajenos al debate, y el estado de aflicción de la víctima, mientras trabajó a las órdenes del </w:t>
      </w:r>
      <w:proofErr w:type="spellStart"/>
      <w:r w:rsidRPr="00220069">
        <w:rPr>
          <w:color w:val="000000"/>
        </w:rPr>
        <w:t>incusado</w:t>
      </w:r>
      <w:proofErr w:type="spellEnd"/>
      <w:r w:rsidRPr="00220069">
        <w:rPr>
          <w:color w:val="000000"/>
        </w:rPr>
        <w:t>, todo ello según el reporte de ex compañeros y allegados"</w:t>
      </w:r>
    </w:p>
    <w:p w:rsidR="00362914" w:rsidRPr="00220069" w:rsidRDefault="00362914" w:rsidP="00220069">
      <w:pPr>
        <w:widowControl w:val="0"/>
        <w:spacing w:line="360" w:lineRule="auto"/>
        <w:ind w:firstLine="1417"/>
        <w:jc w:val="both"/>
        <w:rPr>
          <w:color w:val="000000"/>
        </w:rPr>
      </w:pPr>
      <w:r w:rsidRPr="00220069">
        <w:rPr>
          <w:color w:val="000000"/>
        </w:rPr>
        <w:t>"Adelanta su parecer indicando que tanto las participaciones de conocimiento que sustentan la acusación, como las que dan credibilidad a la versión del incuso y la de aquellos que la abonan, dando por cierta la relación íntima entre M</w:t>
      </w:r>
      <w:r w:rsidR="006D12A3">
        <w:rPr>
          <w:color w:val="000000"/>
        </w:rPr>
        <w:t>.</w:t>
      </w:r>
      <w:r w:rsidRPr="00220069">
        <w:rPr>
          <w:color w:val="000000"/>
        </w:rPr>
        <w:t xml:space="preserve"> y su empleada, poseen grietas, que obturan en definitiva la aprobación</w:t>
      </w:r>
      <w:r w:rsidR="000A69A6">
        <w:rPr>
          <w:color w:val="000000"/>
        </w:rPr>
        <w:t xml:space="preserve"> de lo que cada bando sostiene".</w:t>
      </w:r>
    </w:p>
    <w:p w:rsidR="00362914" w:rsidRPr="00220069" w:rsidRDefault="00362914" w:rsidP="00220069">
      <w:pPr>
        <w:widowControl w:val="0"/>
        <w:spacing w:line="360" w:lineRule="auto"/>
        <w:ind w:firstLine="1417"/>
        <w:jc w:val="both"/>
        <w:rPr>
          <w:color w:val="000000"/>
        </w:rPr>
      </w:pPr>
      <w:r w:rsidRPr="00220069">
        <w:rPr>
          <w:color w:val="000000"/>
        </w:rPr>
        <w:t xml:space="preserve">"Cabe hacer mención que el </w:t>
      </w:r>
      <w:proofErr w:type="spellStart"/>
      <w:r w:rsidRPr="00220069">
        <w:rPr>
          <w:color w:val="000000"/>
        </w:rPr>
        <w:t>incusado</w:t>
      </w:r>
      <w:proofErr w:type="spellEnd"/>
      <w:r w:rsidRPr="00220069">
        <w:rPr>
          <w:color w:val="000000"/>
        </w:rPr>
        <w:t xml:space="preserve"> nada ha dicho </w:t>
      </w:r>
      <w:r w:rsidRPr="00220069">
        <w:rPr>
          <w:color w:val="000000"/>
        </w:rPr>
        <w:lastRenderedPageBreak/>
        <w:t>sobre el pretendido vínculo, pues se acogió a su derecho a no deponer (art. 18, C.N.) en la etapa inicial, al igual que durante el debate, siendo entonces sólo los testigos quienes refutaron la versión de la denunciante, al explayarse sobre el pretendido vínculo íntimo"</w:t>
      </w:r>
      <w:r w:rsidR="000A69A6">
        <w:rPr>
          <w:color w:val="000000"/>
        </w:rPr>
        <w:t>.</w:t>
      </w:r>
    </w:p>
    <w:p w:rsidR="00362914" w:rsidRPr="00220069" w:rsidRDefault="00362914" w:rsidP="00220069">
      <w:pPr>
        <w:widowControl w:val="0"/>
        <w:spacing w:line="360" w:lineRule="auto"/>
        <w:ind w:firstLine="1417"/>
        <w:jc w:val="both"/>
        <w:rPr>
          <w:color w:val="000000"/>
        </w:rPr>
      </w:pPr>
      <w:r w:rsidRPr="00220069">
        <w:rPr>
          <w:color w:val="000000"/>
        </w:rPr>
        <w:t>El revisor consideró "impecable y aguda" la ponderación realizada en la instancia de mérito respecto de cada testimonio y continuó:</w:t>
      </w:r>
    </w:p>
    <w:p w:rsidR="00362914" w:rsidRPr="00220069" w:rsidRDefault="00362914" w:rsidP="00220069">
      <w:pPr>
        <w:widowControl w:val="0"/>
        <w:spacing w:line="360" w:lineRule="auto"/>
        <w:ind w:firstLine="1417"/>
        <w:jc w:val="both"/>
        <w:rPr>
          <w:color w:val="000000"/>
        </w:rPr>
      </w:pPr>
      <w:r w:rsidRPr="00220069">
        <w:rPr>
          <w:color w:val="000000"/>
        </w:rPr>
        <w:t>"Si bien la denunciante ha negado enfáticamente la relación con el encartado, como las salidas junto al aludido, B</w:t>
      </w:r>
      <w:r w:rsidR="00967688">
        <w:rPr>
          <w:color w:val="000000"/>
        </w:rPr>
        <w:t>.</w:t>
      </w:r>
      <w:r w:rsidRPr="00220069">
        <w:rPr>
          <w:color w:val="000000"/>
        </w:rPr>
        <w:t xml:space="preserve"> y A</w:t>
      </w:r>
      <w:r w:rsidR="00967688">
        <w:rPr>
          <w:color w:val="000000"/>
        </w:rPr>
        <w:t>.</w:t>
      </w:r>
      <w:r w:rsidRPr="00220069">
        <w:rPr>
          <w:color w:val="000000"/>
        </w:rPr>
        <w:t>, la visita a la finca del conocido de M</w:t>
      </w:r>
      <w:r w:rsidR="00967688">
        <w:rPr>
          <w:color w:val="000000"/>
        </w:rPr>
        <w:t>.</w:t>
      </w:r>
      <w:r w:rsidRPr="00220069">
        <w:rPr>
          <w:color w:val="000000"/>
        </w:rPr>
        <w:t xml:space="preserve"> de apellido V</w:t>
      </w:r>
      <w:r w:rsidR="00967688">
        <w:rPr>
          <w:color w:val="000000"/>
        </w:rPr>
        <w:t>.</w:t>
      </w:r>
      <w:r w:rsidRPr="00220069">
        <w:rPr>
          <w:color w:val="000000"/>
        </w:rPr>
        <w:t xml:space="preserve"> o las relaciones sexuales con los compañeros de trabajo S</w:t>
      </w:r>
      <w:r w:rsidR="00967688">
        <w:rPr>
          <w:color w:val="000000"/>
        </w:rPr>
        <w:t>.</w:t>
      </w:r>
      <w:r w:rsidRPr="00220069">
        <w:rPr>
          <w:color w:val="000000"/>
        </w:rPr>
        <w:t xml:space="preserve"> y N</w:t>
      </w:r>
      <w:r w:rsidR="00967688">
        <w:rPr>
          <w:color w:val="000000"/>
        </w:rPr>
        <w:t>.</w:t>
      </w:r>
      <w:r w:rsidRPr="00220069">
        <w:rPr>
          <w:color w:val="000000"/>
        </w:rPr>
        <w:t xml:space="preserve">, como su intervención en la foto a la que hacen referencia éstos, manteniéndose en su negativa en las múltiples audiencias de careo sostenidas con los aludidos, lo cierto es que el </w:t>
      </w:r>
      <w:proofErr w:type="spellStart"/>
      <w:r w:rsidRPr="00220069">
        <w:rPr>
          <w:color w:val="000000"/>
        </w:rPr>
        <w:t>sentenciante</w:t>
      </w:r>
      <w:proofErr w:type="spellEnd"/>
      <w:r w:rsidRPr="00220069">
        <w:rPr>
          <w:color w:val="000000"/>
        </w:rPr>
        <w:t xml:space="preserve"> no ha advertido notas de mendacidad en los que la contradicen, y respecto de V</w:t>
      </w:r>
      <w:r w:rsidR="00202C4E">
        <w:rPr>
          <w:color w:val="000000"/>
        </w:rPr>
        <w:t>.</w:t>
      </w:r>
      <w:r w:rsidRPr="00220069">
        <w:rPr>
          <w:color w:val="000000"/>
        </w:rPr>
        <w:t>, en el contradictorio con A</w:t>
      </w:r>
      <w:r w:rsidR="00967688">
        <w:rPr>
          <w:color w:val="000000"/>
        </w:rPr>
        <w:t>.</w:t>
      </w:r>
      <w:r w:rsidRPr="00220069">
        <w:rPr>
          <w:color w:val="000000"/>
        </w:rPr>
        <w:t xml:space="preserve">, la notó menos solvente, evaluación de las participaciones de conocimiento, que como indicara ‘supra’ no adolecen de las notas típicas de absurdo o arbitrariedad que sólo podrían mellar el análisis de racionalidad practicado por el </w:t>
      </w:r>
      <w:proofErr w:type="spellStart"/>
      <w:r w:rsidRPr="00220069">
        <w:rPr>
          <w:color w:val="000000"/>
        </w:rPr>
        <w:t>sentenciante</w:t>
      </w:r>
      <w:proofErr w:type="spellEnd"/>
      <w:r w:rsidRPr="00220069">
        <w:rPr>
          <w:color w:val="000000"/>
        </w:rPr>
        <w:t>, al fundar su convicción sobre las mismas"</w:t>
      </w:r>
      <w:r w:rsidR="00D65415">
        <w:rPr>
          <w:color w:val="000000"/>
        </w:rPr>
        <w:t>.</w:t>
      </w:r>
      <w:r w:rsidRPr="00220069">
        <w:rPr>
          <w:color w:val="000000"/>
        </w:rPr>
        <w:t xml:space="preserve"> </w:t>
      </w:r>
    </w:p>
    <w:p w:rsidR="00362914" w:rsidRPr="00220069" w:rsidRDefault="00362914" w:rsidP="00220069">
      <w:pPr>
        <w:widowControl w:val="0"/>
        <w:spacing w:line="360" w:lineRule="auto"/>
        <w:ind w:firstLine="1417"/>
        <w:jc w:val="both"/>
        <w:rPr>
          <w:color w:val="000000"/>
        </w:rPr>
      </w:pPr>
      <w:r w:rsidRPr="00220069">
        <w:rPr>
          <w:color w:val="000000"/>
        </w:rPr>
        <w:t xml:space="preserve">"Adentrándonos en los distintos testimonios, y manteniendo la línea sostenida en el fallo, se dijo que salvo Hudson, que a juicio del </w:t>
      </w:r>
      <w:proofErr w:type="spellStart"/>
      <w:r w:rsidRPr="00220069">
        <w:rPr>
          <w:color w:val="000000"/>
        </w:rPr>
        <w:t>sentenciante</w:t>
      </w:r>
      <w:proofErr w:type="spellEnd"/>
      <w:r w:rsidRPr="00220069">
        <w:rPr>
          <w:color w:val="000000"/>
        </w:rPr>
        <w:t xml:space="preserve"> es aquella que aparece como la única fuente no contaminada, ni por parentesco, amistad con V</w:t>
      </w:r>
      <w:r w:rsidR="00967688">
        <w:rPr>
          <w:color w:val="000000"/>
        </w:rPr>
        <w:t>.</w:t>
      </w:r>
      <w:r w:rsidRPr="00220069">
        <w:rPr>
          <w:color w:val="000000"/>
        </w:rPr>
        <w:t xml:space="preserve"> o interés, que no es lo que acontece con el resto de aquellos que abonaron de alguna manera la versión de la denunciante, ya sea percibiendo </w:t>
      </w:r>
      <w:r w:rsidRPr="00220069">
        <w:rPr>
          <w:color w:val="000000"/>
        </w:rPr>
        <w:lastRenderedPageBreak/>
        <w:t>los tocamientos (caso de F</w:t>
      </w:r>
      <w:r w:rsidR="00967688">
        <w:rPr>
          <w:color w:val="000000"/>
        </w:rPr>
        <w:t>.</w:t>
      </w:r>
      <w:r w:rsidRPr="00220069">
        <w:rPr>
          <w:color w:val="000000"/>
        </w:rPr>
        <w:t>) o los estados de angustia o llanto motivados en aquellos (A</w:t>
      </w:r>
      <w:r w:rsidR="00967688">
        <w:rPr>
          <w:color w:val="000000"/>
        </w:rPr>
        <w:t>.</w:t>
      </w:r>
      <w:r w:rsidRPr="00220069">
        <w:rPr>
          <w:color w:val="000000"/>
        </w:rPr>
        <w:t>, S</w:t>
      </w:r>
      <w:r w:rsidR="00967688">
        <w:rPr>
          <w:color w:val="000000"/>
        </w:rPr>
        <w:t>.</w:t>
      </w:r>
      <w:r w:rsidRPr="00220069">
        <w:rPr>
          <w:color w:val="000000"/>
        </w:rPr>
        <w:t>, G</w:t>
      </w:r>
      <w:r w:rsidR="00967688">
        <w:rPr>
          <w:color w:val="000000"/>
        </w:rPr>
        <w:t>.</w:t>
      </w:r>
      <w:r w:rsidRPr="00220069">
        <w:rPr>
          <w:color w:val="000000"/>
        </w:rPr>
        <w:t>, C</w:t>
      </w:r>
      <w:r w:rsidR="00967688">
        <w:rPr>
          <w:color w:val="000000"/>
        </w:rPr>
        <w:t xml:space="preserve">. </w:t>
      </w:r>
      <w:r w:rsidRPr="00220069">
        <w:rPr>
          <w:color w:val="000000"/>
        </w:rPr>
        <w:t>y G</w:t>
      </w:r>
      <w:r w:rsidR="00967688">
        <w:rPr>
          <w:color w:val="000000"/>
        </w:rPr>
        <w:t>.</w:t>
      </w:r>
      <w:r w:rsidRPr="00220069">
        <w:rPr>
          <w:color w:val="000000"/>
        </w:rPr>
        <w:t>), deteniéndose en tal sentido el decisorio en ponderar cuidadosamente aquellas circunstancias que le restaban crédito a las participaciones de conocimiento de todos ellos; en el caso de F</w:t>
      </w:r>
      <w:r w:rsidR="00967688">
        <w:rPr>
          <w:color w:val="000000"/>
        </w:rPr>
        <w:t>.</w:t>
      </w:r>
      <w:r w:rsidR="00220069" w:rsidRPr="00220069">
        <w:rPr>
          <w:color w:val="000000"/>
        </w:rPr>
        <w:t xml:space="preserve"> </w:t>
      </w:r>
      <w:r w:rsidR="00220069" w:rsidRPr="00220069">
        <w:rPr>
          <w:color w:val="000000"/>
        </w:rPr>
        <w:noBreakHyphen/>
      </w:r>
      <w:r w:rsidRPr="00220069">
        <w:rPr>
          <w:color w:val="000000"/>
        </w:rPr>
        <w:t>único observador del abuso-, por un juicio de daños y perjuicios derivado de la causa penal seguida contra el nocente, o por las acciones legales iniciadas contra el incuso en los casos de A</w:t>
      </w:r>
      <w:r w:rsidR="00967688">
        <w:rPr>
          <w:color w:val="000000"/>
        </w:rPr>
        <w:t>.</w:t>
      </w:r>
      <w:r w:rsidRPr="00220069">
        <w:rPr>
          <w:color w:val="000000"/>
        </w:rPr>
        <w:t xml:space="preserve"> y C</w:t>
      </w:r>
      <w:r w:rsidR="00967688">
        <w:rPr>
          <w:color w:val="000000"/>
        </w:rPr>
        <w:t>.</w:t>
      </w:r>
      <w:r w:rsidRPr="00220069">
        <w:rPr>
          <w:color w:val="000000"/>
        </w:rPr>
        <w:t>, o por la relación familiar de los restantes"</w:t>
      </w:r>
      <w:r w:rsidR="00D65415">
        <w:rPr>
          <w:color w:val="000000"/>
        </w:rPr>
        <w:t>.</w:t>
      </w:r>
      <w:r w:rsidRPr="00220069">
        <w:rPr>
          <w:color w:val="000000"/>
        </w:rPr>
        <w:t xml:space="preserve"> </w:t>
      </w:r>
    </w:p>
    <w:p w:rsidR="00362914" w:rsidRPr="00220069" w:rsidRDefault="00362914" w:rsidP="00220069">
      <w:pPr>
        <w:widowControl w:val="0"/>
        <w:spacing w:line="360" w:lineRule="auto"/>
        <w:ind w:firstLine="1417"/>
        <w:jc w:val="both"/>
        <w:rPr>
          <w:color w:val="000000"/>
        </w:rPr>
      </w:pPr>
      <w:r w:rsidRPr="00220069">
        <w:rPr>
          <w:color w:val="000000"/>
        </w:rPr>
        <w:t>"Las notas que afeblecían ambas versiones en orden a la supuesta relación íntima que sostenían la denunciante y el empleador M</w:t>
      </w:r>
      <w:r w:rsidR="00967688">
        <w:rPr>
          <w:color w:val="000000"/>
        </w:rPr>
        <w:t>.</w:t>
      </w:r>
      <w:r w:rsidRPr="00220069">
        <w:rPr>
          <w:color w:val="000000"/>
        </w:rPr>
        <w:t xml:space="preserve">, y de cuya existencia se nutriría el consentimiento que alejaría la tipicidad del abuso, ha sido motivo de cuidadoso análisis a lo largo del fallo, y en verdad no encuentro mácula a partir del juicio de racionalidad que basado en las reglas de la psicología, experiencia común y el recto entendimiento, ha llevado al Magistrado a estimar no acreditada con suficiencia la intolerancia de la denunciante en orden al hecho intimado, aspecto este último medular para la resolución del caso, pues el </w:t>
      </w:r>
      <w:proofErr w:type="spellStart"/>
      <w:r w:rsidRPr="00220069">
        <w:rPr>
          <w:color w:val="000000"/>
        </w:rPr>
        <w:t>factum</w:t>
      </w:r>
      <w:proofErr w:type="spellEnd"/>
      <w:r w:rsidR="00220069" w:rsidRPr="00220069">
        <w:rPr>
          <w:color w:val="000000"/>
        </w:rPr>
        <w:t xml:space="preserve"> </w:t>
      </w:r>
      <w:r w:rsidR="00220069" w:rsidRPr="00220069">
        <w:rPr>
          <w:color w:val="000000"/>
        </w:rPr>
        <w:noBreakHyphen/>
      </w:r>
      <w:r w:rsidRPr="00220069">
        <w:rPr>
          <w:color w:val="000000"/>
        </w:rPr>
        <w:t xml:space="preserve">limitado sólo a los tocamientos en los glúteos, en la oficina contigua al 'Drugstore'-, sólo hacía referencia en verdad a un sólo acontecer de abuso, lo que si bien guardaba correspondencia con el marco legal asignado desprovisto de toda nota de reiteración (art. 55 C.P.), no parece compadecerse con los múltiples hechos a los que alude la Fiscalía en su alegato final, cometidos supuestamente durante los años 2005 a 2008, singularidad e insuficiencia a la vez, dado que no encuentro el suceso </w:t>
      </w:r>
      <w:r w:rsidRPr="00220069">
        <w:rPr>
          <w:color w:val="000000"/>
        </w:rPr>
        <w:lastRenderedPageBreak/>
        <w:t>debidamente circunstanciado, [</w:t>
      </w:r>
      <w:r w:rsidR="00220069" w:rsidRPr="00220069">
        <w:rPr>
          <w:color w:val="000000"/>
        </w:rPr>
        <w:t>...</w:t>
      </w:r>
      <w:r w:rsidRPr="00220069">
        <w:rPr>
          <w:color w:val="000000"/>
        </w:rPr>
        <w:t>] todo lo cual ha de llevar a la homologación de lo actuado</w:t>
      </w:r>
      <w:r w:rsidR="00220069" w:rsidRPr="00220069">
        <w:rPr>
          <w:color w:val="000000"/>
        </w:rPr>
        <w:t>...</w:t>
      </w:r>
      <w:r w:rsidRPr="00220069">
        <w:rPr>
          <w:color w:val="000000"/>
        </w:rPr>
        <w:t>".</w:t>
      </w:r>
    </w:p>
    <w:p w:rsidR="00362914" w:rsidRPr="00220069" w:rsidRDefault="00362914" w:rsidP="00220069">
      <w:pPr>
        <w:widowControl w:val="0"/>
        <w:spacing w:line="360" w:lineRule="auto"/>
        <w:ind w:firstLine="1417"/>
        <w:jc w:val="both"/>
        <w:rPr>
          <w:color w:val="000000"/>
        </w:rPr>
      </w:pPr>
      <w:r w:rsidRPr="00220069">
        <w:rPr>
          <w:color w:val="000000"/>
        </w:rPr>
        <w:t xml:space="preserve">Por su parte, el doctor Little adhirió y añadió que no debían emplearse en la argumentación referencias al carácter de la denunciante para no incurrir en una </w:t>
      </w:r>
      <w:proofErr w:type="spellStart"/>
      <w:r w:rsidRPr="00220069">
        <w:rPr>
          <w:color w:val="000000"/>
        </w:rPr>
        <w:t>revictimización</w:t>
      </w:r>
      <w:proofErr w:type="spellEnd"/>
      <w:r w:rsidRPr="00220069">
        <w:rPr>
          <w:color w:val="000000"/>
        </w:rPr>
        <w:t>. También mencionó, aunque sin explicar cómo se aplicaban al caso, el precedente "Leiva" de la Corte Suprema de Justicia de la Nación (</w:t>
      </w:r>
      <w:proofErr w:type="spellStart"/>
      <w:r w:rsidRPr="00220069">
        <w:rPr>
          <w:color w:val="000000"/>
        </w:rPr>
        <w:t>sent</w:t>
      </w:r>
      <w:proofErr w:type="spellEnd"/>
      <w:r w:rsidRPr="00220069">
        <w:rPr>
          <w:color w:val="000000"/>
        </w:rPr>
        <w:t>. de 1-XI-2011) y el "respeto acérrimo" de los principios receptados en la Convención de Belém do Pará y en la ley 26.485 de protección integral para prevenir, sancionar y erradicar la violencia contra las mujeres (v. fs. 445 vta</w:t>
      </w:r>
      <w:proofErr w:type="gramStart"/>
      <w:r w:rsidRPr="00220069">
        <w:rPr>
          <w:color w:val="000000"/>
        </w:rPr>
        <w:t>./</w:t>
      </w:r>
      <w:proofErr w:type="gramEnd"/>
      <w:r w:rsidRPr="00220069">
        <w:rPr>
          <w:color w:val="000000"/>
        </w:rPr>
        <w:t>446 vta.).</w:t>
      </w:r>
    </w:p>
    <w:p w:rsidR="00362914" w:rsidRPr="00220069" w:rsidRDefault="00362914" w:rsidP="00220069">
      <w:pPr>
        <w:widowControl w:val="0"/>
        <w:spacing w:line="360" w:lineRule="auto"/>
        <w:ind w:firstLine="1417"/>
        <w:jc w:val="both"/>
        <w:rPr>
          <w:color w:val="000000"/>
        </w:rPr>
      </w:pPr>
      <w:r w:rsidRPr="00220069">
        <w:rPr>
          <w:color w:val="000000"/>
        </w:rPr>
        <w:t>V. Esa misma perspectiva había sido la adoptada en la absolución dictada por el juez en lo correccional, quien expresó: "</w:t>
      </w:r>
      <w:r w:rsidR="00220069" w:rsidRPr="00220069">
        <w:rPr>
          <w:color w:val="000000"/>
        </w:rPr>
        <w:t>...</w:t>
      </w:r>
      <w:r w:rsidRPr="00220069">
        <w:rPr>
          <w:color w:val="000000"/>
        </w:rPr>
        <w:t xml:space="preserve">los tocamientos, </w:t>
      </w:r>
      <w:r w:rsidRPr="00220069">
        <w:rPr>
          <w:i/>
          <w:color w:val="000000"/>
        </w:rPr>
        <w:t>per se</w:t>
      </w:r>
      <w:r w:rsidRPr="00220069">
        <w:rPr>
          <w:color w:val="000000"/>
        </w:rPr>
        <w:t>, no dirimen la contienda</w:t>
      </w:r>
      <w:r w:rsidR="00220069" w:rsidRPr="00220069">
        <w:rPr>
          <w:color w:val="000000"/>
        </w:rPr>
        <w:t xml:space="preserve"> </w:t>
      </w:r>
      <w:r w:rsidR="00220069" w:rsidRPr="00220069">
        <w:rPr>
          <w:color w:val="000000"/>
        </w:rPr>
        <w:noBreakHyphen/>
      </w:r>
      <w:r w:rsidRPr="00220069">
        <w:rPr>
          <w:color w:val="000000"/>
        </w:rPr>
        <w:t>eso está acreditado-, sino en la medida de correr el velo de la supuesta relación afectiva</w:t>
      </w:r>
      <w:r w:rsidR="00220069" w:rsidRPr="00220069">
        <w:rPr>
          <w:color w:val="000000"/>
        </w:rPr>
        <w:t xml:space="preserve"> </w:t>
      </w:r>
      <w:r w:rsidR="00220069" w:rsidRPr="00220069">
        <w:rPr>
          <w:color w:val="000000"/>
        </w:rPr>
        <w:noBreakHyphen/>
      </w:r>
      <w:r w:rsidRPr="00220069">
        <w:rPr>
          <w:color w:val="000000"/>
        </w:rPr>
        <w:t>o como se le quiera rotular- entre V</w:t>
      </w:r>
      <w:r w:rsidR="00967688">
        <w:rPr>
          <w:color w:val="000000"/>
        </w:rPr>
        <w:t>.</w:t>
      </w:r>
      <w:r w:rsidRPr="00220069">
        <w:rPr>
          <w:color w:val="000000"/>
        </w:rPr>
        <w:t xml:space="preserve"> y M</w:t>
      </w:r>
      <w:r w:rsidR="00967688">
        <w:rPr>
          <w:color w:val="000000"/>
        </w:rPr>
        <w:t>.</w:t>
      </w:r>
      <w:r w:rsidR="00220069" w:rsidRPr="00220069">
        <w:rPr>
          <w:color w:val="000000"/>
        </w:rPr>
        <w:t>...</w:t>
      </w:r>
      <w:r w:rsidRPr="00220069">
        <w:rPr>
          <w:color w:val="000000"/>
        </w:rPr>
        <w:t>" (fs. 399). El magistrado se interrogó: "</w:t>
      </w:r>
      <w:r w:rsidR="00220069" w:rsidRPr="00220069">
        <w:rPr>
          <w:color w:val="000000"/>
        </w:rPr>
        <w:t>...</w:t>
      </w:r>
      <w:r w:rsidRPr="00220069">
        <w:rPr>
          <w:color w:val="000000"/>
        </w:rPr>
        <w:t>¿fue o no fue R</w:t>
      </w:r>
      <w:r w:rsidR="00967688">
        <w:rPr>
          <w:color w:val="000000"/>
        </w:rPr>
        <w:t>.</w:t>
      </w:r>
      <w:r w:rsidRPr="00220069">
        <w:rPr>
          <w:color w:val="000000"/>
        </w:rPr>
        <w:t xml:space="preserve"> V</w:t>
      </w:r>
      <w:r w:rsidR="00967688">
        <w:rPr>
          <w:color w:val="000000"/>
        </w:rPr>
        <w:t>.</w:t>
      </w:r>
      <w:r w:rsidRPr="00220069">
        <w:rPr>
          <w:color w:val="000000"/>
        </w:rPr>
        <w:t xml:space="preserve"> novia-pareja-amante de C</w:t>
      </w:r>
      <w:r w:rsidR="00967688">
        <w:rPr>
          <w:color w:val="000000"/>
        </w:rPr>
        <w:t>.</w:t>
      </w:r>
      <w:r w:rsidRPr="00220069">
        <w:rPr>
          <w:color w:val="000000"/>
        </w:rPr>
        <w:t xml:space="preserve"> A</w:t>
      </w:r>
      <w:r w:rsidR="00967688">
        <w:rPr>
          <w:color w:val="000000"/>
        </w:rPr>
        <w:t>.</w:t>
      </w:r>
      <w:r w:rsidRPr="00220069">
        <w:rPr>
          <w:color w:val="000000"/>
        </w:rPr>
        <w:t xml:space="preserve"> M</w:t>
      </w:r>
      <w:r w:rsidR="00967688">
        <w:rPr>
          <w:color w:val="000000"/>
        </w:rPr>
        <w:t>.</w:t>
      </w:r>
      <w:r w:rsidRPr="00220069">
        <w:rPr>
          <w:color w:val="000000"/>
        </w:rPr>
        <w:t>, a la sazón jefe de la joven mientras esta se desempeñaba a las órdenes del empresario en la estación de servicio y, por ende, los roces y/o tocamientos se consienten en el trance de un vínculo suplementario al laboral?" (</w:t>
      </w:r>
      <w:proofErr w:type="gramStart"/>
      <w:r w:rsidRPr="00220069">
        <w:rPr>
          <w:color w:val="000000"/>
        </w:rPr>
        <w:t>ibídem</w:t>
      </w:r>
      <w:proofErr w:type="gramEnd"/>
      <w:r w:rsidRPr="00220069">
        <w:rPr>
          <w:color w:val="000000"/>
        </w:rPr>
        <w:t>). Luego insistió en que "</w:t>
      </w:r>
      <w:r w:rsidR="00220069" w:rsidRPr="00220069">
        <w:rPr>
          <w:color w:val="000000"/>
        </w:rPr>
        <w:t>...</w:t>
      </w:r>
      <w:r w:rsidRPr="00220069">
        <w:rPr>
          <w:color w:val="000000"/>
        </w:rPr>
        <w:t xml:space="preserve">el tema del vínculo suplementario al contrato de trabajo cruza todo este juicio en la medida de propender a la </w:t>
      </w:r>
      <w:proofErr w:type="spellStart"/>
      <w:r w:rsidRPr="00220069">
        <w:rPr>
          <w:color w:val="000000"/>
        </w:rPr>
        <w:t>resignificación</w:t>
      </w:r>
      <w:proofErr w:type="spellEnd"/>
      <w:r w:rsidRPr="00220069">
        <w:rPr>
          <w:color w:val="000000"/>
        </w:rPr>
        <w:t xml:space="preserve"> de los tocamientos" (fs. 400).</w:t>
      </w:r>
    </w:p>
    <w:p w:rsidR="00362914" w:rsidRPr="00220069" w:rsidRDefault="00362914" w:rsidP="00220069">
      <w:pPr>
        <w:widowControl w:val="0"/>
        <w:spacing w:line="360" w:lineRule="auto"/>
        <w:ind w:firstLine="1417"/>
        <w:jc w:val="both"/>
        <w:rPr>
          <w:color w:val="000000"/>
        </w:rPr>
      </w:pPr>
      <w:r w:rsidRPr="00220069">
        <w:rPr>
          <w:color w:val="000000"/>
        </w:rPr>
        <w:t xml:space="preserve">A lo largo de su análisis de los testimonios y los alegatos de las partes el juez correccional adoptó ese punto de vista, concerniente a la supuesta relevancia de </w:t>
      </w:r>
      <w:r w:rsidRPr="00220069">
        <w:rPr>
          <w:color w:val="000000"/>
        </w:rPr>
        <w:lastRenderedPageBreak/>
        <w:t>un pretendido "vinculo suplementario al laboral" (v. fs. 400 vta. y sigs.) y lo mantuvo en lo que tituló como "examen definitivo" del caso (v. fs. 405 vta.), concluyendo que por la duda, la posición entre las partes antagónicas "</w:t>
      </w:r>
      <w:r w:rsidR="00220069" w:rsidRPr="00220069">
        <w:rPr>
          <w:color w:val="000000"/>
        </w:rPr>
        <w:t>...</w:t>
      </w:r>
      <w:r w:rsidRPr="00220069">
        <w:rPr>
          <w:color w:val="000000"/>
        </w:rPr>
        <w:t>no logra inclinarse hacia la hipótesis del abuso, los tocamientos inverecundos no consentidos" (v. fs. 407 vta.), a consecuencia de lo cual consideró no demostrada la materialidad ilícita (v. fs. 408 vta.).</w:t>
      </w:r>
    </w:p>
    <w:p w:rsidR="00362914" w:rsidRPr="00220069" w:rsidRDefault="00362914" w:rsidP="00220069">
      <w:pPr>
        <w:widowControl w:val="0"/>
        <w:spacing w:line="360" w:lineRule="auto"/>
        <w:ind w:firstLine="1417"/>
        <w:jc w:val="both"/>
        <w:rPr>
          <w:color w:val="000000"/>
        </w:rPr>
      </w:pPr>
      <w:r w:rsidRPr="00220069">
        <w:rPr>
          <w:color w:val="000000"/>
        </w:rPr>
        <w:t>VI. El recurso es procedente, pues tal como lo sostiene la impugnante el fallo es arbitrario al haber sido dictado sin perspectiva de género, aun cuando la parte así lo había solicitado al alegar sobre la falta de aplicación real de la ley 24.632 que aprobó la Convención de Belem do Pará y de la ley 26.485 de protección integral para prevenir, sancionar y erradicar la violencia contra las mujeres (v. fs. 429/430 vta.).</w:t>
      </w:r>
    </w:p>
    <w:p w:rsidR="00362914" w:rsidRPr="00D65415" w:rsidRDefault="00362914" w:rsidP="00220069">
      <w:pPr>
        <w:widowControl w:val="0"/>
        <w:spacing w:line="360" w:lineRule="auto"/>
        <w:ind w:firstLine="1417"/>
        <w:jc w:val="both"/>
        <w:rPr>
          <w:color w:val="000000"/>
          <w:spacing w:val="-4"/>
        </w:rPr>
      </w:pPr>
      <w:r w:rsidRPr="00D65415">
        <w:rPr>
          <w:color w:val="000000"/>
          <w:spacing w:val="-4"/>
        </w:rPr>
        <w:t>VI.1. El fallo transcripto deja en evidencia</w:t>
      </w:r>
      <w:r w:rsidR="00220069" w:rsidRPr="00D65415">
        <w:rPr>
          <w:color w:val="000000"/>
          <w:spacing w:val="-4"/>
        </w:rPr>
        <w:t xml:space="preserve"> </w:t>
      </w:r>
      <w:r w:rsidR="00220069" w:rsidRPr="00D65415">
        <w:rPr>
          <w:color w:val="000000"/>
          <w:spacing w:val="-4"/>
        </w:rPr>
        <w:noBreakHyphen/>
      </w:r>
      <w:r w:rsidRPr="00D65415">
        <w:rPr>
          <w:color w:val="000000"/>
          <w:spacing w:val="-4"/>
        </w:rPr>
        <w:t>en lo que resulta inteligible de la argumentación del</w:t>
      </w:r>
      <w:r w:rsidRPr="00D65415">
        <w:rPr>
          <w:i/>
          <w:color w:val="000000"/>
          <w:spacing w:val="-4"/>
        </w:rPr>
        <w:t xml:space="preserve"> a quo</w:t>
      </w:r>
      <w:r w:rsidRPr="00D65415">
        <w:rPr>
          <w:color w:val="000000"/>
          <w:spacing w:val="-4"/>
        </w:rPr>
        <w:t xml:space="preserve">-, que el tribunal además de no haber considerado creíble a la denunciante, computó como aspecto "medular para la resolución de[l] caso" (fs. 445) que, de haber mediado una relación íntima entre las partes, cabía derivar que la mujer había consentido el hecho objeto de la acusación. </w:t>
      </w:r>
    </w:p>
    <w:p w:rsidR="00362914" w:rsidRPr="00220069" w:rsidRDefault="00362914" w:rsidP="00220069">
      <w:pPr>
        <w:widowControl w:val="0"/>
        <w:spacing w:line="360" w:lineRule="auto"/>
        <w:ind w:firstLine="1417"/>
        <w:jc w:val="both"/>
        <w:rPr>
          <w:color w:val="000000"/>
        </w:rPr>
      </w:pPr>
      <w:r w:rsidRPr="00220069">
        <w:rPr>
          <w:color w:val="000000"/>
        </w:rPr>
        <w:t>Ahora bien, sin perjuicio de otras consideraciones, este fundamento, por prejuicioso, no puede dar sostén constitucionalmente válido al pronunciamiento impugnado.</w:t>
      </w:r>
    </w:p>
    <w:p w:rsidR="00362914" w:rsidRPr="00220069" w:rsidRDefault="00362914" w:rsidP="00220069">
      <w:pPr>
        <w:widowControl w:val="0"/>
        <w:spacing w:line="360" w:lineRule="auto"/>
        <w:ind w:firstLine="1417"/>
        <w:jc w:val="both"/>
        <w:rPr>
          <w:color w:val="000000"/>
        </w:rPr>
      </w:pPr>
      <w:r w:rsidRPr="00220069">
        <w:rPr>
          <w:color w:val="000000"/>
        </w:rPr>
        <w:t xml:space="preserve">Por otra parte, el uso formal en la sentencia del derecho internacional de los derechos humanos, limitándose a la cita de normas pero sin aplicarlas, es </w:t>
      </w:r>
      <w:r w:rsidRPr="00220069">
        <w:rPr>
          <w:color w:val="000000"/>
        </w:rPr>
        <w:lastRenderedPageBreak/>
        <w:t>inútil para justificar que se ha juzgado con perspectiva de género.</w:t>
      </w:r>
    </w:p>
    <w:p w:rsidR="00362914" w:rsidRPr="00220069" w:rsidRDefault="00362914" w:rsidP="00220069">
      <w:pPr>
        <w:widowControl w:val="0"/>
        <w:spacing w:line="360" w:lineRule="auto"/>
        <w:ind w:firstLine="1417"/>
        <w:jc w:val="both"/>
        <w:rPr>
          <w:color w:val="000000"/>
        </w:rPr>
      </w:pPr>
      <w:r w:rsidRPr="00220069">
        <w:rPr>
          <w:color w:val="000000"/>
        </w:rPr>
        <w:t xml:space="preserve">VI.2. La jueza </w:t>
      </w:r>
      <w:proofErr w:type="spellStart"/>
      <w:r w:rsidRPr="00220069">
        <w:rPr>
          <w:color w:val="000000"/>
        </w:rPr>
        <w:t>Highton</w:t>
      </w:r>
      <w:proofErr w:type="spellEnd"/>
      <w:r w:rsidRPr="00220069">
        <w:rPr>
          <w:color w:val="000000"/>
        </w:rPr>
        <w:t xml:space="preserve"> de Nolasco señaló en el caso "Leiva" (</w:t>
      </w:r>
      <w:proofErr w:type="spellStart"/>
      <w:r w:rsidRPr="00220069">
        <w:rPr>
          <w:color w:val="000000"/>
        </w:rPr>
        <w:t>sent</w:t>
      </w:r>
      <w:proofErr w:type="spellEnd"/>
      <w:r w:rsidRPr="00220069">
        <w:rPr>
          <w:color w:val="000000"/>
        </w:rPr>
        <w:t>. de 1-XI-2011)</w:t>
      </w:r>
      <w:r w:rsidR="00220069" w:rsidRPr="00220069">
        <w:rPr>
          <w:color w:val="000000"/>
        </w:rPr>
        <w:t xml:space="preserve"> </w:t>
      </w:r>
      <w:r w:rsidR="00220069" w:rsidRPr="00220069">
        <w:rPr>
          <w:color w:val="000000"/>
        </w:rPr>
        <w:noBreakHyphen/>
      </w:r>
      <w:r w:rsidRPr="00220069">
        <w:rPr>
          <w:color w:val="000000"/>
        </w:rPr>
        <w:t>fallo mencionado pero en modo alguno atendido por los juzgadores-: "3°) Que la Convención Interamericana para Prevenir, Sancionar y Erradicar la Violencia contra La Mujer</w:t>
      </w:r>
      <w:r w:rsidR="00220069" w:rsidRPr="00220069">
        <w:rPr>
          <w:color w:val="000000"/>
        </w:rPr>
        <w:t xml:space="preserve"> </w:t>
      </w:r>
      <w:r w:rsidR="00220069" w:rsidRPr="00220069">
        <w:rPr>
          <w:color w:val="000000"/>
        </w:rPr>
        <w:noBreakHyphen/>
      </w:r>
      <w:r w:rsidRPr="00220069">
        <w:rPr>
          <w:color w:val="000000"/>
        </w:rPr>
        <w:t xml:space="preserve"> 'Convención de Belem do Pará' (aprobada a través de la ley 24.632), en su preámbulo sostiene que la violencia contra la mujer constituye '</w:t>
      </w:r>
      <w:r w:rsidR="00220069" w:rsidRPr="00220069">
        <w:rPr>
          <w:color w:val="000000"/>
        </w:rPr>
        <w:t>...</w:t>
      </w:r>
      <w:r w:rsidRPr="00220069">
        <w:rPr>
          <w:color w:val="000000"/>
        </w:rPr>
        <w:t>una violación a los derechos humanos y las libertades fundamentales</w:t>
      </w:r>
      <w:r w:rsidR="00220069" w:rsidRPr="00220069">
        <w:rPr>
          <w:color w:val="000000"/>
        </w:rPr>
        <w:t>...</w:t>
      </w:r>
      <w:r w:rsidRPr="00220069">
        <w:rPr>
          <w:color w:val="000000"/>
        </w:rPr>
        <w:t>', '</w:t>
      </w:r>
      <w:r w:rsidR="00220069" w:rsidRPr="00220069">
        <w:rPr>
          <w:color w:val="000000"/>
        </w:rPr>
        <w:t>...</w:t>
      </w:r>
      <w:r w:rsidRPr="00220069">
        <w:rPr>
          <w:color w:val="000000"/>
        </w:rPr>
        <w:t>una ofensa a la dignidad humana y una manifestación de las relaciones de poder históricamente desiguales entre mujeres y hombres</w:t>
      </w:r>
      <w:r w:rsidR="00220069" w:rsidRPr="00220069">
        <w:rPr>
          <w:color w:val="000000"/>
        </w:rPr>
        <w:t>...</w:t>
      </w:r>
      <w:r w:rsidRPr="00220069">
        <w:rPr>
          <w:color w:val="000000"/>
        </w:rPr>
        <w:t xml:space="preserve">'. Asimismo, al referirse a cuáles son los derechos que se pretende proteger a través del instrumento, menciona en primer término que toda mujer tiene derecho a una vida libre de violencia, tanto en el ámbito público como en el privado (artículo 3°). 4°) Que por otra parte, la ley 26.485 de 'Protección Integral de la Mujer' (reglamentada mediante el decreto 1011/2010), que apunta a erradicar cualquier tipo de discriminación entre varones y mujeres y a garantizar a estas últimas el derecho a vivir una vida sin violencia, declara que sus disposiciones son de orden público (artículo 1°) y define los diversos tipos de violencia a la que puede ser sometida una mujer así como también las distintas modalidades en que suele ser ejercida (artículos 5° y 6°); pone en cabeza de los poderes del estado la obligación de adoptar políticas y generar los medios necesarios para lograr los fines perseguidos por la norma (artículo 7°); y finalmente establece un principio </w:t>
      </w:r>
      <w:r w:rsidRPr="00220069">
        <w:rPr>
          <w:color w:val="000000"/>
        </w:rPr>
        <w:lastRenderedPageBreak/>
        <w:t>de amplitud probatoria '</w:t>
      </w:r>
      <w:r w:rsidR="00220069" w:rsidRPr="00220069">
        <w:rPr>
          <w:color w:val="000000"/>
        </w:rPr>
        <w:t>...</w:t>
      </w:r>
      <w:r w:rsidRPr="00220069">
        <w:rPr>
          <w:color w:val="000000"/>
        </w:rPr>
        <w:t xml:space="preserve">para acreditar los hechos denunciados, teniendo en cuenta las circunstancias especiales en las que se desarrollan los actos de violencia y </w:t>
      </w:r>
      <w:proofErr w:type="spellStart"/>
      <w:r w:rsidRPr="00220069">
        <w:rPr>
          <w:color w:val="000000"/>
        </w:rPr>
        <w:t>quienes</w:t>
      </w:r>
      <w:proofErr w:type="spellEnd"/>
      <w:r w:rsidRPr="00220069">
        <w:rPr>
          <w:color w:val="000000"/>
        </w:rPr>
        <w:t xml:space="preserve"> son sus naturales testigos</w:t>
      </w:r>
      <w:r w:rsidR="00220069" w:rsidRPr="00220069">
        <w:rPr>
          <w:color w:val="000000"/>
        </w:rPr>
        <w:t>...</w:t>
      </w:r>
      <w:r w:rsidRPr="00220069">
        <w:rPr>
          <w:color w:val="000000"/>
        </w:rPr>
        <w:t>', tanto para tener por acreditados los hechos cuanto para resolver en un fallo al respecto (artículos 6° y 31)".</w:t>
      </w:r>
    </w:p>
    <w:p w:rsidR="00362914" w:rsidRPr="00220069" w:rsidRDefault="00362914" w:rsidP="00220069">
      <w:pPr>
        <w:widowControl w:val="0"/>
        <w:spacing w:line="360" w:lineRule="auto"/>
        <w:ind w:firstLine="1417"/>
        <w:jc w:val="both"/>
        <w:rPr>
          <w:color w:val="000000"/>
        </w:rPr>
      </w:pPr>
      <w:r w:rsidRPr="00220069">
        <w:rPr>
          <w:color w:val="000000"/>
        </w:rPr>
        <w:t>En esta materia, esta Suprema Corte tiene dicho que para determinar si el hecho imputado debe quedar comprendido o no en los términos de la "Convención de Belem do Pará", el juzgador debe analizar y ponderar</w:t>
      </w:r>
      <w:r w:rsidR="00220069" w:rsidRPr="00220069">
        <w:rPr>
          <w:color w:val="000000"/>
        </w:rPr>
        <w:t xml:space="preserve"> </w:t>
      </w:r>
      <w:r w:rsidR="00220069" w:rsidRPr="00220069">
        <w:rPr>
          <w:color w:val="000000"/>
        </w:rPr>
        <w:noBreakHyphen/>
      </w:r>
      <w:r w:rsidRPr="00220069">
        <w:rPr>
          <w:color w:val="000000"/>
        </w:rPr>
        <w:t xml:space="preserve">necesariamente- el contexto fáctico y jurídico, esto es, circunstancias anteriores y concomitantes, al ilícito en juzgamiento (conf. causas P. 128.910, </w:t>
      </w:r>
      <w:proofErr w:type="spellStart"/>
      <w:r w:rsidRPr="00220069">
        <w:rPr>
          <w:color w:val="000000"/>
        </w:rPr>
        <w:t>sent</w:t>
      </w:r>
      <w:proofErr w:type="spellEnd"/>
      <w:r w:rsidRPr="00220069">
        <w:rPr>
          <w:color w:val="000000"/>
        </w:rPr>
        <w:t xml:space="preserve">. de 17-VIII-2016; P. 128.468, </w:t>
      </w:r>
      <w:proofErr w:type="spellStart"/>
      <w:r w:rsidRPr="00220069">
        <w:rPr>
          <w:color w:val="000000"/>
        </w:rPr>
        <w:t>sent</w:t>
      </w:r>
      <w:proofErr w:type="spellEnd"/>
      <w:r w:rsidRPr="00220069">
        <w:rPr>
          <w:color w:val="000000"/>
        </w:rPr>
        <w:t>. de 12-IV-2017; P. 130</w:t>
      </w:r>
      <w:r w:rsidR="00D65415">
        <w:rPr>
          <w:color w:val="000000"/>
        </w:rPr>
        <w:t xml:space="preserve">-580, resol. de 11-VII-2018; </w:t>
      </w:r>
      <w:proofErr w:type="spellStart"/>
      <w:r w:rsidR="00D65415">
        <w:rPr>
          <w:color w:val="000000"/>
        </w:rPr>
        <w:t>e.</w:t>
      </w:r>
      <w:r w:rsidRPr="00220069">
        <w:rPr>
          <w:color w:val="000000"/>
        </w:rPr>
        <w:t>o</w:t>
      </w:r>
      <w:proofErr w:type="spellEnd"/>
      <w:r w:rsidRPr="00220069">
        <w:rPr>
          <w:color w:val="000000"/>
        </w:rPr>
        <w:t>.) y que la violencia sexual constituye una de las formas específicas de violencia contra la mujer (</w:t>
      </w:r>
      <w:r w:rsidR="00D65415">
        <w:rPr>
          <w:color w:val="000000"/>
        </w:rPr>
        <w:t xml:space="preserve">causa </w:t>
      </w:r>
      <w:r w:rsidRPr="00220069">
        <w:rPr>
          <w:color w:val="000000"/>
        </w:rPr>
        <w:t xml:space="preserve">P. 124.615, </w:t>
      </w:r>
      <w:proofErr w:type="spellStart"/>
      <w:r w:rsidRPr="00220069">
        <w:rPr>
          <w:color w:val="000000"/>
        </w:rPr>
        <w:t>sent</w:t>
      </w:r>
      <w:proofErr w:type="spellEnd"/>
      <w:r w:rsidRPr="00220069">
        <w:rPr>
          <w:color w:val="000000"/>
        </w:rPr>
        <w:t>. de 20-IX-2017).</w:t>
      </w:r>
    </w:p>
    <w:p w:rsidR="00362914" w:rsidRPr="00220069" w:rsidRDefault="00362914" w:rsidP="00220069">
      <w:pPr>
        <w:widowControl w:val="0"/>
        <w:spacing w:line="360" w:lineRule="auto"/>
        <w:ind w:firstLine="1417"/>
        <w:jc w:val="both"/>
        <w:rPr>
          <w:color w:val="000000"/>
        </w:rPr>
      </w:pPr>
      <w:r w:rsidRPr="00220069">
        <w:rPr>
          <w:color w:val="000000"/>
        </w:rPr>
        <w:t xml:space="preserve">Según tales criterios, en este caso </w:t>
      </w:r>
      <w:r w:rsidRPr="00220069">
        <w:rPr>
          <w:b/>
          <w:color w:val="000000"/>
        </w:rPr>
        <w:t xml:space="preserve">corresponde el juzgamiento con perspectiva de género </w:t>
      </w:r>
      <w:r w:rsidRPr="00220069">
        <w:rPr>
          <w:color w:val="000000"/>
        </w:rPr>
        <w:t>en virtud del contexto de desigualdad negativo para la mujer en el cual se denunció como producido el abuso sexual, desigualdad derivada de la relación asimétrica de poder propia del vínculo de empleo que tenía la víctima con el imputado. El juzgar con esa perspectiva propende a garantizar el ejercicio de los derechos de las mujeres, la igualdad de género y una tutela judicial efectiva, evitando la reproducción de estereotipos que dan por supuesto el modo en que deben comportarse las personas en función de su sexo o género.</w:t>
      </w:r>
    </w:p>
    <w:p w:rsidR="00362914" w:rsidRPr="00220069" w:rsidRDefault="00362914" w:rsidP="00220069">
      <w:pPr>
        <w:widowControl w:val="0"/>
        <w:spacing w:line="360" w:lineRule="auto"/>
        <w:ind w:firstLine="1417"/>
        <w:jc w:val="both"/>
        <w:rPr>
          <w:color w:val="000000"/>
        </w:rPr>
      </w:pPr>
      <w:r w:rsidRPr="00220069">
        <w:rPr>
          <w:color w:val="000000"/>
        </w:rPr>
        <w:t xml:space="preserve">VI. 3. El empleo de </w:t>
      </w:r>
      <w:r w:rsidRPr="00220069">
        <w:rPr>
          <w:b/>
          <w:color w:val="000000"/>
        </w:rPr>
        <w:t>estereotipos de género</w:t>
      </w:r>
      <w:r w:rsidRPr="00220069">
        <w:rPr>
          <w:color w:val="000000"/>
        </w:rPr>
        <w:t xml:space="preserve"> en el </w:t>
      </w:r>
      <w:r w:rsidRPr="00220069">
        <w:rPr>
          <w:color w:val="000000"/>
        </w:rPr>
        <w:lastRenderedPageBreak/>
        <w:t>razonamiento de los jueces constituye uno de los obstáculos que impiden a las mujeres el ejercicio de su derecho de acceder a la justicia en condiciones de igualdad, y conduce a descalificar su credibilidad y a asignarles una responsabilidad tácita por los hechos denunciados, por ejemplo, en virtud de su relación</w:t>
      </w:r>
      <w:r w:rsidR="00220069" w:rsidRPr="00220069">
        <w:rPr>
          <w:color w:val="000000"/>
        </w:rPr>
        <w:t xml:space="preserve"> </w:t>
      </w:r>
      <w:r w:rsidR="00220069" w:rsidRPr="00220069">
        <w:rPr>
          <w:color w:val="000000"/>
        </w:rPr>
        <w:noBreakHyphen/>
      </w:r>
      <w:r w:rsidRPr="00220069">
        <w:rPr>
          <w:color w:val="000000"/>
        </w:rPr>
        <w:t xml:space="preserve">real o supuesta- con el agresor. </w:t>
      </w:r>
    </w:p>
    <w:p w:rsidR="00362914" w:rsidRPr="00220069" w:rsidRDefault="00362914" w:rsidP="00220069">
      <w:pPr>
        <w:widowControl w:val="0"/>
        <w:spacing w:line="360" w:lineRule="auto"/>
        <w:ind w:firstLine="1417"/>
        <w:jc w:val="both"/>
        <w:rPr>
          <w:color w:val="000000"/>
        </w:rPr>
      </w:pPr>
      <w:r w:rsidRPr="00220069">
        <w:rPr>
          <w:color w:val="000000"/>
        </w:rPr>
        <w:t>En términos de la Corte Interamericana de Derechos Humanos</w:t>
      </w:r>
      <w:r w:rsidR="00220069" w:rsidRPr="00220069">
        <w:rPr>
          <w:color w:val="000000"/>
        </w:rPr>
        <w:t xml:space="preserve"> </w:t>
      </w:r>
      <w:r w:rsidR="00220069" w:rsidRPr="00220069">
        <w:rPr>
          <w:color w:val="000000"/>
        </w:rPr>
        <w:noBreakHyphen/>
      </w:r>
      <w:r w:rsidRPr="00220069">
        <w:rPr>
          <w:color w:val="000000"/>
        </w:rPr>
        <w:t xml:space="preserve">considerando lo que resulta pertinente, </w:t>
      </w:r>
      <w:r w:rsidRPr="00220069">
        <w:rPr>
          <w:i/>
          <w:color w:val="000000"/>
        </w:rPr>
        <w:t xml:space="preserve">mutatis </w:t>
      </w:r>
      <w:proofErr w:type="spellStart"/>
      <w:r w:rsidRPr="00220069">
        <w:rPr>
          <w:i/>
          <w:color w:val="000000"/>
        </w:rPr>
        <w:t>mutandi</w:t>
      </w:r>
      <w:proofErr w:type="spellEnd"/>
      <w:r w:rsidRPr="00220069">
        <w:rPr>
          <w:i/>
          <w:color w:val="000000"/>
        </w:rPr>
        <w:t>,</w:t>
      </w:r>
      <w:r w:rsidRPr="00220069">
        <w:rPr>
          <w:color w:val="000000"/>
        </w:rPr>
        <w:t xml:space="preserve"> para este juicio-, "</w:t>
      </w:r>
      <w:r w:rsidR="00220069" w:rsidRPr="00220069">
        <w:rPr>
          <w:color w:val="000000"/>
        </w:rPr>
        <w:t>...</w:t>
      </w:r>
      <w:r w:rsidRPr="00220069">
        <w:rPr>
          <w:color w:val="000000"/>
        </w:rPr>
        <w:t>el estereotipo de género se refiere a una pre-concepción de atributos o características poseídas o papeles que son o deberían ser ejecutados por hombres y mujeres respectivamente. Teniendo en cuenta las manifestaciones efectuadas por el Estado (supra párr. 398), es posible asociar la subordinación de la mujer a prácticas basadas en estereotipos de género socialmente dominantes y socialmente persistentes, condiciones que se agravan cuando los estereotipos se reflejan, implícita o explícitamente, en políticas y prácticas, particularmente en el razonamiento y el lenguaje de las autoridades de policía judicial, como ocurrió en el presente caso. La creación y uso de estereotipos se convierte en una de las causas y consecuencias de la violencia de género en contra de la mujer" ("Caso González y otras 'Campo Algodonero' Vs. México</w:t>
      </w:r>
      <w:r w:rsidR="00220069" w:rsidRPr="00220069">
        <w:rPr>
          <w:color w:val="000000"/>
        </w:rPr>
        <w:t>"</w:t>
      </w:r>
      <w:r w:rsidRPr="00220069">
        <w:rPr>
          <w:color w:val="000000"/>
        </w:rPr>
        <w:t>, sentencia de 16-XI-2009, párr. 401).</w:t>
      </w:r>
    </w:p>
    <w:p w:rsidR="00362914" w:rsidRPr="00220069" w:rsidRDefault="00362914" w:rsidP="00220069">
      <w:pPr>
        <w:widowControl w:val="0"/>
        <w:spacing w:line="360" w:lineRule="auto"/>
        <w:ind w:firstLine="1417"/>
        <w:jc w:val="both"/>
        <w:rPr>
          <w:color w:val="000000"/>
        </w:rPr>
      </w:pPr>
      <w:r w:rsidRPr="00220069">
        <w:rPr>
          <w:color w:val="000000"/>
        </w:rPr>
        <w:t>En este litigio, la idea de que, de mediar una "relación íntima", puede inferirse que la mujer consiente ser manoseada sexualmente en su lugar de trabajo</w:t>
      </w:r>
      <w:r w:rsidR="00220069" w:rsidRPr="00220069">
        <w:rPr>
          <w:color w:val="000000"/>
        </w:rPr>
        <w:t xml:space="preserve"> </w:t>
      </w:r>
      <w:r w:rsidR="00220069" w:rsidRPr="00220069">
        <w:rPr>
          <w:color w:val="000000"/>
        </w:rPr>
        <w:noBreakHyphen/>
      </w:r>
      <w:r w:rsidRPr="00220069">
        <w:rPr>
          <w:color w:val="000000"/>
        </w:rPr>
        <w:t xml:space="preserve">cuando la aquí denunciante negó rotundamente haber brindado su </w:t>
      </w:r>
      <w:r w:rsidRPr="00220069">
        <w:rPr>
          <w:color w:val="000000"/>
        </w:rPr>
        <w:lastRenderedPageBreak/>
        <w:t xml:space="preserve">asentimiento- constituye un prejuicio de género que da por sentada la inferioridad o subordinación de la mujer. El carácter discriminatorio de este estereotipo de tolerancia o consentimiento atribuido a la mujer queda en evidencia porque difícilmente pueda imaginarse que se propusiera una interpretación semejante en caso de que la víctima fuera un hombre. </w:t>
      </w:r>
    </w:p>
    <w:p w:rsidR="00362914" w:rsidRPr="00220069" w:rsidRDefault="00362914" w:rsidP="00220069">
      <w:pPr>
        <w:widowControl w:val="0"/>
        <w:spacing w:line="360" w:lineRule="auto"/>
        <w:ind w:firstLine="1417"/>
        <w:jc w:val="both"/>
        <w:rPr>
          <w:color w:val="000000"/>
        </w:rPr>
      </w:pPr>
      <w:r w:rsidRPr="00220069">
        <w:rPr>
          <w:color w:val="000000"/>
        </w:rPr>
        <w:t xml:space="preserve">Se trata, entonces, de una distinción injusta en detrimento de la mujer, por razón de género, que la </w:t>
      </w:r>
      <w:proofErr w:type="spellStart"/>
      <w:r w:rsidRPr="00220069">
        <w:rPr>
          <w:color w:val="000000"/>
        </w:rPr>
        <w:t>revictimiza</w:t>
      </w:r>
      <w:proofErr w:type="spellEnd"/>
      <w:r w:rsidRPr="00220069">
        <w:rPr>
          <w:color w:val="000000"/>
        </w:rPr>
        <w:t>. Dar por supuesto el consentimiento a este tipo de comportamientos masculinos implica la degradación de la mujer, minimizando su dignidad.</w:t>
      </w:r>
    </w:p>
    <w:p w:rsidR="00362914" w:rsidRPr="00220069" w:rsidRDefault="00362914" w:rsidP="00220069">
      <w:pPr>
        <w:widowControl w:val="0"/>
        <w:spacing w:line="360" w:lineRule="auto"/>
        <w:ind w:firstLine="1417"/>
        <w:jc w:val="both"/>
        <w:rPr>
          <w:color w:val="000000"/>
        </w:rPr>
      </w:pPr>
      <w:r w:rsidRPr="00220069">
        <w:rPr>
          <w:color w:val="000000"/>
        </w:rPr>
        <w:t>Aquí, a pesar de que "</w:t>
      </w:r>
      <w:r w:rsidR="00220069" w:rsidRPr="00220069">
        <w:rPr>
          <w:color w:val="000000"/>
        </w:rPr>
        <w:t>...</w:t>
      </w:r>
      <w:r w:rsidRPr="00220069">
        <w:rPr>
          <w:color w:val="000000"/>
        </w:rPr>
        <w:t>una garantía para el acceso a la justicia de las mujeres víctimas de violencia sexual debe ser la previsión de reglas para la valoración de la prueba que evite afirmaciones, insinuaciones y alusiones estereotipadas" (</w:t>
      </w:r>
      <w:r w:rsidR="00220069" w:rsidRPr="00220069">
        <w:rPr>
          <w:color w:val="000000"/>
        </w:rPr>
        <w:t>CIDH</w:t>
      </w:r>
      <w:r w:rsidRPr="00220069">
        <w:rPr>
          <w:color w:val="000000"/>
        </w:rPr>
        <w:t>, "Caso Espinoza Gonzáles vs. Perú", sentencia de 20 de noviembre de 2014, pár. 278), dicho prejuicio llevó a restar valor a la declaración de la denunciante en cuanto negó haber aceptado el manoseo sexual imputado y condujo al juzgador también a soslayar el peso de la desigual posición de las partes por mediar un vínculo en el cual el denunciado era empleador de la mujer.</w:t>
      </w:r>
    </w:p>
    <w:p w:rsidR="00362914" w:rsidRPr="00220069" w:rsidRDefault="00362914" w:rsidP="00220069">
      <w:pPr>
        <w:widowControl w:val="0"/>
        <w:spacing w:line="360" w:lineRule="auto"/>
        <w:ind w:firstLine="1417"/>
        <w:jc w:val="both"/>
        <w:rPr>
          <w:color w:val="000000"/>
        </w:rPr>
      </w:pPr>
      <w:r w:rsidRPr="00220069">
        <w:rPr>
          <w:color w:val="000000"/>
        </w:rPr>
        <w:t xml:space="preserve">En este último aspecto el </w:t>
      </w:r>
      <w:r w:rsidR="00220069" w:rsidRPr="00220069">
        <w:rPr>
          <w:color w:val="000000"/>
        </w:rPr>
        <w:t>juez</w:t>
      </w:r>
      <w:r w:rsidRPr="00220069">
        <w:rPr>
          <w:color w:val="000000"/>
        </w:rPr>
        <w:t xml:space="preserve"> correccional añadió un estereotipo sobre los roles sexuales al expresar que R</w:t>
      </w:r>
      <w:r w:rsidR="00967688">
        <w:rPr>
          <w:color w:val="000000"/>
        </w:rPr>
        <w:t>.</w:t>
      </w:r>
      <w:r w:rsidRPr="00220069">
        <w:rPr>
          <w:color w:val="000000"/>
        </w:rPr>
        <w:t xml:space="preserve"> V</w:t>
      </w:r>
      <w:r w:rsidR="00967688">
        <w:rPr>
          <w:color w:val="000000"/>
        </w:rPr>
        <w:t>.</w:t>
      </w:r>
      <w:r w:rsidRPr="00220069">
        <w:rPr>
          <w:color w:val="000000"/>
        </w:rPr>
        <w:t xml:space="preserve"> no tenía una imperiosa necesidad laboral pues vivía con sus padres, a diferencia de una de las testigos, que era madre de tres hijos de los cuales era el único sostén (v. fs. 407). Aunque la ley 26.485 (art. 6.c) </w:t>
      </w:r>
      <w:r w:rsidRPr="00220069">
        <w:rPr>
          <w:color w:val="000000"/>
        </w:rPr>
        <w:lastRenderedPageBreak/>
        <w:t xml:space="preserve">describe entre las formas en que se manifiestan los distintos tipos de violencia contra las mujeres la discriminación en los ámbitos de trabajo públicos o privados por la obstaculización de la permanencia en el mismo, el magistrado empleó en este caso un criterio que discrimina a la mujer en la esfera laboral, al desconocer su derecho al trabajo como derecho inalienable de todo ser humano (art. 11.1. "a", de la CEDAW). </w:t>
      </w:r>
    </w:p>
    <w:p w:rsidR="00362914" w:rsidRPr="00220069" w:rsidRDefault="00362914" w:rsidP="00220069">
      <w:pPr>
        <w:widowControl w:val="0"/>
        <w:spacing w:line="360" w:lineRule="auto"/>
        <w:ind w:firstLine="1417"/>
        <w:jc w:val="both"/>
        <w:rPr>
          <w:color w:val="000000"/>
        </w:rPr>
      </w:pPr>
      <w:r w:rsidRPr="00220069">
        <w:rPr>
          <w:color w:val="000000"/>
        </w:rPr>
        <w:t>No debe perderse de vista que el principio de amplia libertad probatoria</w:t>
      </w:r>
      <w:r w:rsidR="00220069" w:rsidRPr="00220069">
        <w:rPr>
          <w:color w:val="000000"/>
        </w:rPr>
        <w:t xml:space="preserve"> </w:t>
      </w:r>
      <w:r w:rsidR="00220069" w:rsidRPr="00220069">
        <w:rPr>
          <w:color w:val="000000"/>
        </w:rPr>
        <w:noBreakHyphen/>
      </w:r>
      <w:r w:rsidRPr="00220069">
        <w:rPr>
          <w:color w:val="000000"/>
        </w:rPr>
        <w:t xml:space="preserve">arts. 16.1 </w:t>
      </w:r>
      <w:proofErr w:type="gramStart"/>
      <w:r w:rsidRPr="00220069">
        <w:rPr>
          <w:color w:val="000000"/>
        </w:rPr>
        <w:t>y</w:t>
      </w:r>
      <w:proofErr w:type="gramEnd"/>
      <w:r w:rsidRPr="00220069">
        <w:rPr>
          <w:color w:val="000000"/>
        </w:rPr>
        <w:t xml:space="preserve"> 31 de la ley 26.485- no implica una flexibilización de los estándares probatorios sino que "está destinado, en primer lugar, a desalentar el sesgo discriminatorio que tradicionalmente ha regido la valoración probatoria a través de visiones estereotipadas o prejuiciosas sobre la víctima o la persona acusada" (Protocolo para la investigación y litigio de casos de muertes violentas de mujeres (</w:t>
      </w:r>
      <w:proofErr w:type="spellStart"/>
      <w:r w:rsidRPr="00220069">
        <w:rPr>
          <w:color w:val="000000"/>
        </w:rPr>
        <w:t>femicidios</w:t>
      </w:r>
      <w:proofErr w:type="spellEnd"/>
      <w:r w:rsidRPr="00220069">
        <w:rPr>
          <w:color w:val="000000"/>
        </w:rPr>
        <w:t xml:space="preserve">) de la Procuración General de la Nación, año 2018, </w:t>
      </w:r>
      <w:proofErr w:type="spellStart"/>
      <w:r w:rsidRPr="00220069">
        <w:rPr>
          <w:color w:val="000000"/>
        </w:rPr>
        <w:t>pto</w:t>
      </w:r>
      <w:proofErr w:type="spellEnd"/>
      <w:r w:rsidRPr="00220069">
        <w:rPr>
          <w:color w:val="000000"/>
        </w:rPr>
        <w:t>. 4.2.2.).</w:t>
      </w:r>
    </w:p>
    <w:p w:rsidR="00362914" w:rsidRPr="00220069" w:rsidRDefault="00362914" w:rsidP="00220069">
      <w:pPr>
        <w:widowControl w:val="0"/>
        <w:spacing w:line="360" w:lineRule="auto"/>
        <w:ind w:firstLine="1417"/>
        <w:jc w:val="both"/>
        <w:rPr>
          <w:color w:val="000000"/>
        </w:rPr>
      </w:pPr>
      <w:r w:rsidRPr="00220069">
        <w:rPr>
          <w:color w:val="000000"/>
        </w:rPr>
        <w:t>El punto de vista del juez tuvo el efecto perjudicial de imponerle una carga adicional basada en su género, consistente en que debería haberse evidenciado que la denunciante "necesitaba" trabajar por alguna razón en especial, obviando que, por el contrario, le asistía el derecho al trabajo sin condicionamientos. En el informe periódico de la Argentina</w:t>
      </w:r>
      <w:r w:rsidR="00220069" w:rsidRPr="00220069">
        <w:rPr>
          <w:color w:val="000000"/>
        </w:rPr>
        <w:t xml:space="preserve"> </w:t>
      </w:r>
      <w:r w:rsidR="00220069" w:rsidRPr="00220069">
        <w:rPr>
          <w:color w:val="000000"/>
        </w:rPr>
        <w:noBreakHyphen/>
      </w:r>
      <w:r w:rsidRPr="00220069">
        <w:rPr>
          <w:color w:val="000000"/>
        </w:rPr>
        <w:t xml:space="preserve">CEDAW/C/ARG/CO/7-, el Comité expresó su preocupación por la persistencia de estereotipos discriminatorios con respecto a las funciones y responsabilidades de la mujer y el hombre en la familia y en la sociedad (v. también Rebecca Cook y Simone </w:t>
      </w:r>
      <w:proofErr w:type="spellStart"/>
      <w:r w:rsidRPr="00220069">
        <w:rPr>
          <w:color w:val="000000"/>
        </w:rPr>
        <w:t>Cusack</w:t>
      </w:r>
      <w:proofErr w:type="spellEnd"/>
      <w:r w:rsidRPr="00220069">
        <w:rPr>
          <w:color w:val="000000"/>
        </w:rPr>
        <w:t xml:space="preserve">; Estereotipo de Género, Perspectivas Legales </w:t>
      </w:r>
      <w:r w:rsidRPr="00220069">
        <w:rPr>
          <w:color w:val="000000"/>
        </w:rPr>
        <w:lastRenderedPageBreak/>
        <w:t xml:space="preserve">Transnacionales, </w:t>
      </w:r>
      <w:proofErr w:type="spellStart"/>
      <w:r w:rsidRPr="00220069">
        <w:rPr>
          <w:color w:val="000000"/>
        </w:rPr>
        <w:t>University</w:t>
      </w:r>
      <w:proofErr w:type="spellEnd"/>
      <w:r w:rsidRPr="00220069">
        <w:rPr>
          <w:color w:val="000000"/>
        </w:rPr>
        <w:t xml:space="preserve"> Of Pennsylvania, </w:t>
      </w:r>
      <w:proofErr w:type="spellStart"/>
      <w:r w:rsidRPr="00220069">
        <w:rPr>
          <w:color w:val="000000"/>
        </w:rPr>
        <w:t>Press</w:t>
      </w:r>
      <w:proofErr w:type="spellEnd"/>
      <w:r w:rsidRPr="00220069">
        <w:rPr>
          <w:color w:val="000000"/>
        </w:rPr>
        <w:t>, 2009</w:t>
      </w:r>
      <w:proofErr w:type="gramStart"/>
      <w:r w:rsidRPr="00220069">
        <w:rPr>
          <w:color w:val="000000"/>
        </w:rPr>
        <w:t>)(</w:t>
      </w:r>
      <w:proofErr w:type="gramEnd"/>
      <w:r w:rsidRPr="00220069">
        <w:rPr>
          <w:color w:val="000000"/>
        </w:rPr>
        <w:t xml:space="preserve">conf. </w:t>
      </w:r>
      <w:r w:rsidR="003A657E">
        <w:rPr>
          <w:color w:val="000000"/>
        </w:rPr>
        <w:t xml:space="preserve">causa </w:t>
      </w:r>
      <w:r w:rsidRPr="00220069">
        <w:rPr>
          <w:color w:val="000000"/>
        </w:rPr>
        <w:t xml:space="preserve">A. 72.474, </w:t>
      </w:r>
      <w:proofErr w:type="spellStart"/>
      <w:r w:rsidRPr="00220069">
        <w:rPr>
          <w:color w:val="000000"/>
        </w:rPr>
        <w:t>sent</w:t>
      </w:r>
      <w:proofErr w:type="spellEnd"/>
      <w:r w:rsidRPr="00220069">
        <w:rPr>
          <w:color w:val="000000"/>
        </w:rPr>
        <w:t>. de 28-XI-2018).</w:t>
      </w:r>
    </w:p>
    <w:p w:rsidR="00362914" w:rsidRPr="00220069" w:rsidRDefault="00362914" w:rsidP="00220069">
      <w:pPr>
        <w:widowControl w:val="0"/>
        <w:spacing w:line="360" w:lineRule="auto"/>
        <w:ind w:firstLine="1417"/>
        <w:jc w:val="both"/>
        <w:rPr>
          <w:color w:val="000000"/>
        </w:rPr>
      </w:pPr>
      <w:r w:rsidRPr="00220069">
        <w:rPr>
          <w:color w:val="000000"/>
        </w:rPr>
        <w:t xml:space="preserve">VI.4. En el intento de demostrar la existencia de una relación que excedía lo laboral entre aquéllos, se evidenció otro </w:t>
      </w:r>
      <w:r w:rsidRPr="00220069">
        <w:rPr>
          <w:b/>
          <w:color w:val="000000"/>
        </w:rPr>
        <w:t>prejuicio</w:t>
      </w:r>
      <w:r w:rsidRPr="00220069">
        <w:rPr>
          <w:color w:val="000000"/>
        </w:rPr>
        <w:t xml:space="preserve"> ya que la indagación de los testigos convocados al debate apuntó en buena medida a </w:t>
      </w:r>
      <w:r w:rsidRPr="00220069">
        <w:rPr>
          <w:b/>
          <w:color w:val="000000"/>
        </w:rPr>
        <w:t>develar la vida personal (sexual) de la denunciante</w:t>
      </w:r>
      <w:r w:rsidRPr="00220069">
        <w:rPr>
          <w:color w:val="000000"/>
        </w:rPr>
        <w:t xml:space="preserve">, sobre la cual declararon algunos de sus compañeros de trabajo. </w:t>
      </w:r>
    </w:p>
    <w:p w:rsidR="00362914" w:rsidRPr="00220069" w:rsidRDefault="00362914" w:rsidP="00220069">
      <w:pPr>
        <w:widowControl w:val="0"/>
        <w:spacing w:line="360" w:lineRule="auto"/>
        <w:ind w:firstLine="1417"/>
        <w:jc w:val="both"/>
        <w:rPr>
          <w:color w:val="000000"/>
        </w:rPr>
      </w:pPr>
      <w:r w:rsidRPr="00220069">
        <w:rPr>
          <w:color w:val="000000"/>
        </w:rPr>
        <w:t xml:space="preserve">Conforme lo resolvió esta Suprema Corte en </w:t>
      </w:r>
      <w:r w:rsidR="003A657E">
        <w:rPr>
          <w:color w:val="000000"/>
        </w:rPr>
        <w:t xml:space="preserve">causa </w:t>
      </w:r>
      <w:r w:rsidRPr="00220069">
        <w:rPr>
          <w:color w:val="000000"/>
        </w:rPr>
        <w:t>P.</w:t>
      </w:r>
      <w:r w:rsidR="003A657E">
        <w:rPr>
          <w:color w:val="000000"/>
        </w:rPr>
        <w:t xml:space="preserve"> </w:t>
      </w:r>
      <w:r w:rsidRPr="00220069">
        <w:rPr>
          <w:color w:val="000000"/>
        </w:rPr>
        <w:t>121.783 (</w:t>
      </w:r>
      <w:proofErr w:type="spellStart"/>
      <w:r w:rsidRPr="00220069">
        <w:rPr>
          <w:color w:val="000000"/>
        </w:rPr>
        <w:t>sent</w:t>
      </w:r>
      <w:proofErr w:type="spellEnd"/>
      <w:r w:rsidRPr="00220069">
        <w:rPr>
          <w:color w:val="000000"/>
        </w:rPr>
        <w:t>. de 5-XII-2018) si bien el Estatuto de Roma no es un cuerpo normativo aplicable al caso ya que no se trata de ninguna de las hipótesis que allí se regulan, ello no implica que no pueda acudirse a su texto como orientador en otros supuestos. Las Reglas de Procedimiento y Prueba para la aplicación de dicho Estatuto enuncian una serie de principios de la prueba en casos de violencia sexual</w:t>
      </w:r>
      <w:r w:rsidR="00220069" w:rsidRPr="00220069">
        <w:rPr>
          <w:color w:val="000000"/>
        </w:rPr>
        <w:t xml:space="preserve"> </w:t>
      </w:r>
      <w:r w:rsidR="00220069" w:rsidRPr="00220069">
        <w:rPr>
          <w:color w:val="000000"/>
        </w:rPr>
        <w:noBreakHyphen/>
      </w:r>
      <w:r w:rsidRPr="00220069">
        <w:rPr>
          <w:color w:val="000000"/>
        </w:rPr>
        <w:t>allí, en contextos de encierro- (Regla 70) que resultan de utilidad. En particular en cuanto indican que "El consentimiento no podrá inferirse de ninguna palabra o conducta de la víctima cuando la fuerza, la amenaza de la fuerza, la coacción o el aprovechamiento de un entorno coercitivo hayan disminuido su capacidad para dar un consentimiento voluntario y libre" (inc. "a"); que "El consentimiento no podrá inferirse del silencio o de la falta de resistencia de la víctima a la supuesta violencia sexual" (inc. "c") y que "La credibilidad, la honorabilidad o la disponibilidad sexual de la víctima o de un testigo no podrán inferirse de la naturaleza sexual del comportamiento anterior o posterior de la víctima o de un testigo" (inc. "d").</w:t>
      </w:r>
    </w:p>
    <w:p w:rsidR="00362914" w:rsidRPr="00220069" w:rsidRDefault="00362914" w:rsidP="00220069">
      <w:pPr>
        <w:widowControl w:val="0"/>
        <w:spacing w:line="360" w:lineRule="auto"/>
        <w:ind w:firstLine="1417"/>
        <w:jc w:val="both"/>
        <w:rPr>
          <w:color w:val="000000"/>
        </w:rPr>
      </w:pPr>
      <w:r w:rsidRPr="00220069">
        <w:rPr>
          <w:color w:val="000000"/>
        </w:rPr>
        <w:lastRenderedPageBreak/>
        <w:t>Conviene reiterar aquí que el principio de amplia libertad probatoria propende, entre otros, al objetivo de desalentar el sesgo discriminatorio en la valoración de la prueba.</w:t>
      </w:r>
    </w:p>
    <w:p w:rsidR="00362914" w:rsidRPr="00220069" w:rsidRDefault="00362914" w:rsidP="00220069">
      <w:pPr>
        <w:widowControl w:val="0"/>
        <w:spacing w:line="360" w:lineRule="auto"/>
        <w:ind w:firstLine="1417"/>
        <w:jc w:val="both"/>
        <w:rPr>
          <w:color w:val="000000"/>
        </w:rPr>
      </w:pPr>
      <w:r w:rsidRPr="00220069">
        <w:rPr>
          <w:color w:val="000000"/>
        </w:rPr>
        <w:t>Esa averiguación sobre la conducta de R</w:t>
      </w:r>
      <w:r w:rsidR="00202C4E">
        <w:rPr>
          <w:color w:val="000000"/>
        </w:rPr>
        <w:t>.</w:t>
      </w:r>
      <w:r w:rsidRPr="00220069">
        <w:rPr>
          <w:color w:val="000000"/>
        </w:rPr>
        <w:t xml:space="preserve"> V</w:t>
      </w:r>
      <w:r w:rsidR="00202C4E">
        <w:rPr>
          <w:color w:val="000000"/>
        </w:rPr>
        <w:t>.</w:t>
      </w:r>
      <w:r w:rsidRPr="00220069">
        <w:rPr>
          <w:color w:val="000000"/>
        </w:rPr>
        <w:t xml:space="preserve"> llevó incluso al magistrado del juicio oral a emplear un lenguaje no compatible con la dignidad de las víctimas (v. fs. 371 vta., 397 vta., 403 vta., 406), poniendo en evidencia nuevamente un sesgo perjudicial a la denunciante.</w:t>
      </w:r>
    </w:p>
    <w:p w:rsidR="00362914" w:rsidRPr="00220069" w:rsidRDefault="00362914" w:rsidP="00220069">
      <w:pPr>
        <w:widowControl w:val="0"/>
        <w:spacing w:line="360" w:lineRule="auto"/>
        <w:ind w:firstLine="1417"/>
        <w:jc w:val="both"/>
        <w:rPr>
          <w:color w:val="000000"/>
        </w:rPr>
      </w:pPr>
      <w:r w:rsidRPr="00220069">
        <w:rPr>
          <w:color w:val="000000"/>
        </w:rPr>
        <w:t>VI.5. En consecuencia, un pronunciamiento judicial que se fundamenta en una argumentación basada en los prejuicios de género indicados no es válido en tanto no se garantiza el derecho de las mujeres a una vida libre de violencia y de patrones estereotipados de comportamiento, contraviniendo "el derecho de la mujer a ser valorada y educada libre de patrones estereotipados de comportamiento y prácticas sociales y culturales basadas en conceptos de inferioridad o subordinación", reconocido en el art. 6.b. de la Convención de Belem do Pará. Por el contrario, contribuye al mantenimiento de patrones discriminatorios.</w:t>
      </w:r>
    </w:p>
    <w:p w:rsidR="00362914" w:rsidRPr="00220069" w:rsidRDefault="00362914" w:rsidP="00220069">
      <w:pPr>
        <w:widowControl w:val="0"/>
        <w:spacing w:line="360" w:lineRule="auto"/>
        <w:ind w:firstLine="1417"/>
        <w:jc w:val="both"/>
        <w:rPr>
          <w:color w:val="000000"/>
        </w:rPr>
      </w:pPr>
      <w:r w:rsidRPr="00220069">
        <w:rPr>
          <w:color w:val="000000"/>
        </w:rPr>
        <w:t xml:space="preserve">En este sentido, la Recomendación General </w:t>
      </w:r>
      <w:r w:rsidR="00220069" w:rsidRPr="00220069">
        <w:rPr>
          <w:color w:val="000000"/>
        </w:rPr>
        <w:t>n°</w:t>
      </w:r>
      <w:r w:rsidRPr="00220069">
        <w:rPr>
          <w:color w:val="000000"/>
        </w:rPr>
        <w:t xml:space="preserve"> 28 del Comité CEDAW señala en el párrafo 10 que "Los Estados partes tienen la obligación de no discriminar a la mujer por acción u omisión; además, están obligados a reaccionar activamente ante la discriminación contra la mujer, independientemente de que esas acciones u omisiones sean cometidas por el Estado o por actores privados</w:t>
      </w:r>
      <w:r w:rsidR="00220069" w:rsidRPr="00220069">
        <w:rPr>
          <w:color w:val="000000"/>
        </w:rPr>
        <w:t>...</w:t>
      </w:r>
      <w:r w:rsidRPr="00220069">
        <w:rPr>
          <w:color w:val="000000"/>
        </w:rPr>
        <w:t xml:space="preserve">" y la Recomendación General </w:t>
      </w:r>
      <w:r w:rsidR="00220069" w:rsidRPr="00220069">
        <w:rPr>
          <w:color w:val="000000"/>
        </w:rPr>
        <w:t>n°</w:t>
      </w:r>
      <w:r w:rsidRPr="00220069">
        <w:rPr>
          <w:color w:val="000000"/>
        </w:rPr>
        <w:t xml:space="preserve"> 19 del mismo Comité establece en el párrafo 11 que "Las actitudes tradicionales según las </w:t>
      </w:r>
      <w:r w:rsidRPr="00220069">
        <w:rPr>
          <w:color w:val="000000"/>
        </w:rPr>
        <w:lastRenderedPageBreak/>
        <w:t>cuales se considera a la mujer como subordinada o se le atribuyen funciones estereotipadas perpetúan la difusión de prácticas que entrañan violencia o coacción</w:t>
      </w:r>
      <w:r w:rsidR="00220069" w:rsidRPr="00220069">
        <w:rPr>
          <w:color w:val="000000"/>
        </w:rPr>
        <w:t>...</w:t>
      </w:r>
      <w:r w:rsidRPr="00220069">
        <w:rPr>
          <w:color w:val="000000"/>
        </w:rPr>
        <w:t>"</w:t>
      </w:r>
      <w:r w:rsidR="003A657E">
        <w:rPr>
          <w:color w:val="000000"/>
        </w:rPr>
        <w:t>.</w:t>
      </w:r>
    </w:p>
    <w:p w:rsidR="00362914" w:rsidRPr="00220069" w:rsidRDefault="00362914" w:rsidP="00220069">
      <w:pPr>
        <w:widowControl w:val="0"/>
        <w:spacing w:line="360" w:lineRule="auto"/>
        <w:ind w:firstLine="1417"/>
        <w:jc w:val="both"/>
        <w:rPr>
          <w:color w:val="000000"/>
        </w:rPr>
      </w:pPr>
      <w:r w:rsidRPr="00220069">
        <w:rPr>
          <w:color w:val="000000"/>
        </w:rPr>
        <w:t>VI.6. Ante una decisión judicial como la aquí impugnada, la sentencia que la descalifica constituye</w:t>
      </w:r>
      <w:r w:rsidRPr="00220069">
        <w:rPr>
          <w:i/>
          <w:color w:val="000000"/>
        </w:rPr>
        <w:t xml:space="preserve"> per se</w:t>
      </w:r>
      <w:r w:rsidRPr="00220069">
        <w:rPr>
          <w:color w:val="000000"/>
        </w:rPr>
        <w:t xml:space="preserve"> </w:t>
      </w:r>
      <w:r w:rsidRPr="003A657E">
        <w:rPr>
          <w:color w:val="000000"/>
        </w:rPr>
        <w:t>una forma de reparación</w:t>
      </w:r>
      <w:r w:rsidRPr="00220069">
        <w:rPr>
          <w:color w:val="000000"/>
        </w:rPr>
        <w:t xml:space="preserve">, como lo ha señalado la Corte Interamericana de Derechos Humanos en el "Caso del Penal Miguel Castro </w:t>
      </w:r>
      <w:proofErr w:type="spellStart"/>
      <w:r w:rsidRPr="00220069">
        <w:rPr>
          <w:color w:val="000000"/>
        </w:rPr>
        <w:t>Castro</w:t>
      </w:r>
      <w:proofErr w:type="spellEnd"/>
      <w:r w:rsidRPr="00220069">
        <w:rPr>
          <w:color w:val="000000"/>
        </w:rPr>
        <w:t xml:space="preserve"> Vs. Perú" (sentencia de 25 de noviembre de 2006, párr. 470.7).</w:t>
      </w:r>
    </w:p>
    <w:p w:rsidR="00362914" w:rsidRPr="00220069" w:rsidRDefault="00362914" w:rsidP="00220069">
      <w:pPr>
        <w:widowControl w:val="0"/>
        <w:spacing w:line="360" w:lineRule="auto"/>
        <w:ind w:firstLine="1417"/>
        <w:jc w:val="both"/>
        <w:rPr>
          <w:color w:val="000000"/>
        </w:rPr>
      </w:pPr>
      <w:r w:rsidRPr="00220069">
        <w:rPr>
          <w:color w:val="000000"/>
        </w:rPr>
        <w:t>En ese fallo, además, se declararon aplicables las disposiciones de la Convención Interamericana para Prevenir, Sancionar y Erradicar la Violencia contra la Mujer</w:t>
      </w:r>
      <w:r w:rsidR="00220069" w:rsidRPr="00220069">
        <w:rPr>
          <w:color w:val="000000"/>
        </w:rPr>
        <w:t xml:space="preserve"> </w:t>
      </w:r>
      <w:r w:rsidR="00220069" w:rsidRPr="00220069">
        <w:rPr>
          <w:color w:val="000000"/>
        </w:rPr>
        <w:noBreakHyphen/>
      </w:r>
      <w:r w:rsidRPr="00220069">
        <w:rPr>
          <w:color w:val="000000"/>
        </w:rPr>
        <w:t>Convención de Belem do Pará- "</w:t>
      </w:r>
      <w:r w:rsidR="00220069" w:rsidRPr="00220069">
        <w:rPr>
          <w:color w:val="000000"/>
        </w:rPr>
        <w:t>...</w:t>
      </w:r>
      <w:r w:rsidRPr="00220069">
        <w:rPr>
          <w:color w:val="000000"/>
        </w:rPr>
        <w:t>ya que especifican y complementan las obligaciones que tiene el Estado con respecto al cumplimiento de los derechos consagrados en la Convención Americana" (párr. 379). Dicho órgano tomó como referencia de interpretación las disposiciones pertinentes de aquella Convención y de la Convención sobre la Eliminación de todas las Formas de Discriminación contra la Mujer</w:t>
      </w:r>
      <w:r w:rsidR="00220069" w:rsidRPr="00220069">
        <w:rPr>
          <w:color w:val="000000"/>
        </w:rPr>
        <w:t xml:space="preserve"> </w:t>
      </w:r>
      <w:r w:rsidR="00220069" w:rsidRPr="00220069">
        <w:rPr>
          <w:color w:val="000000"/>
        </w:rPr>
        <w:noBreakHyphen/>
      </w:r>
      <w:r w:rsidRPr="00220069">
        <w:rPr>
          <w:color w:val="000000"/>
        </w:rPr>
        <w:t>CEDAW-, "</w:t>
      </w:r>
      <w:r w:rsidR="00220069" w:rsidRPr="00220069">
        <w:rPr>
          <w:color w:val="000000"/>
        </w:rPr>
        <w:t>...</w:t>
      </w:r>
      <w:r w:rsidRPr="00220069">
        <w:rPr>
          <w:color w:val="000000"/>
        </w:rPr>
        <w:t xml:space="preserve">ya que estos instrumentos complementan el </w:t>
      </w:r>
      <w:r w:rsidRPr="00220069">
        <w:rPr>
          <w:i/>
          <w:color w:val="000000"/>
        </w:rPr>
        <w:t xml:space="preserve">corpus </w:t>
      </w:r>
      <w:proofErr w:type="spellStart"/>
      <w:r w:rsidRPr="00220069">
        <w:rPr>
          <w:i/>
          <w:color w:val="000000"/>
        </w:rPr>
        <w:t>juris</w:t>
      </w:r>
      <w:proofErr w:type="spellEnd"/>
      <w:r w:rsidRPr="00220069">
        <w:rPr>
          <w:color w:val="000000"/>
        </w:rPr>
        <w:t xml:space="preserve"> internacional en materia de protección de la integridad personal de las mujeres, del cual forma parte la Convención Americana", ("Caso González y otras 'Campo Algodonero' Vs. México", sentencia de 16-XI-2009, párr. 225).</w:t>
      </w:r>
    </w:p>
    <w:p w:rsidR="00362914" w:rsidRPr="00220069" w:rsidRDefault="00362914" w:rsidP="00220069">
      <w:pPr>
        <w:widowControl w:val="0"/>
        <w:spacing w:line="360" w:lineRule="auto"/>
        <w:ind w:firstLine="1417"/>
        <w:jc w:val="both"/>
        <w:rPr>
          <w:color w:val="000000"/>
        </w:rPr>
      </w:pPr>
      <w:r w:rsidRPr="00220069">
        <w:rPr>
          <w:color w:val="000000"/>
        </w:rPr>
        <w:t xml:space="preserve">El Tribunal interamericano ha puesto de relieve que "El deber general del artículo 2 de la Convención Americana implica la adopción de medidas en dos vertientes. Por una parte, la supresión de las normas y prácticas de cualquier naturaleza que entrañen violación a las </w:t>
      </w:r>
      <w:r w:rsidRPr="00220069">
        <w:rPr>
          <w:color w:val="000000"/>
        </w:rPr>
        <w:lastRenderedPageBreak/>
        <w:t>garantías previstas en la Convención. Por la otra, la expedición de normas y el desarrollo de prácticas conducentes a la efectiva observancia de dichas garantías" (</w:t>
      </w:r>
      <w:r w:rsidR="00220069" w:rsidRPr="00220069">
        <w:rPr>
          <w:color w:val="000000"/>
        </w:rPr>
        <w:t>CIDH</w:t>
      </w:r>
      <w:r w:rsidRPr="00220069">
        <w:rPr>
          <w:color w:val="000000"/>
        </w:rPr>
        <w:t xml:space="preserve">, "Caso Castillo </w:t>
      </w:r>
      <w:proofErr w:type="spellStart"/>
      <w:r w:rsidRPr="00220069">
        <w:rPr>
          <w:color w:val="000000"/>
        </w:rPr>
        <w:t>Petruzzi</w:t>
      </w:r>
      <w:proofErr w:type="spellEnd"/>
      <w:r w:rsidRPr="00220069">
        <w:rPr>
          <w:color w:val="000000"/>
        </w:rPr>
        <w:t xml:space="preserve"> y otros Vs. Perú", sentencia de 30 de mayo de 1999, párr. 207).</w:t>
      </w:r>
    </w:p>
    <w:p w:rsidR="00550931" w:rsidRDefault="00362914" w:rsidP="00220069">
      <w:pPr>
        <w:widowControl w:val="0"/>
        <w:spacing w:line="360" w:lineRule="auto"/>
        <w:ind w:firstLine="1417"/>
        <w:jc w:val="both"/>
        <w:rPr>
          <w:color w:val="000000"/>
        </w:rPr>
      </w:pPr>
      <w:r w:rsidRPr="00220069">
        <w:rPr>
          <w:color w:val="000000"/>
        </w:rPr>
        <w:t>Acerca de la obligación de garantía, la misma Corte "</w:t>
      </w:r>
      <w:r w:rsidR="00220069" w:rsidRPr="00220069">
        <w:rPr>
          <w:color w:val="000000"/>
        </w:rPr>
        <w:t>...</w:t>
      </w:r>
      <w:r w:rsidRPr="00220069">
        <w:rPr>
          <w:color w:val="000000"/>
        </w:rPr>
        <w:t xml:space="preserve">ha establecido que puede ser cumplida de diferentes maneras, en función del derecho específico que el Estado deba garantizar y de las particulares necesidades de protección. Esta obligación implica el deber de los Estados de organizar todo el aparato gubernamental y, en general, todas las estructuras a través de las cuales se manifiesta el ejercicio del poder público, de manera tal que sean capaces de asegurar jurídicamente el libre y pleno ejercicio de los derechos humanos" ("Campo Algodonero", </w:t>
      </w:r>
      <w:proofErr w:type="spellStart"/>
      <w:r w:rsidRPr="00220069">
        <w:rPr>
          <w:color w:val="000000"/>
        </w:rPr>
        <w:t>op</w:t>
      </w:r>
      <w:proofErr w:type="spellEnd"/>
      <w:r w:rsidRPr="00220069">
        <w:rPr>
          <w:color w:val="000000"/>
        </w:rPr>
        <w:t>. cit., párr. 236).</w:t>
      </w:r>
    </w:p>
    <w:p w:rsidR="00362914" w:rsidRPr="00220069" w:rsidRDefault="00362914" w:rsidP="00220069">
      <w:pPr>
        <w:widowControl w:val="0"/>
        <w:spacing w:line="360" w:lineRule="auto"/>
        <w:ind w:firstLine="1417"/>
        <w:jc w:val="both"/>
        <w:rPr>
          <w:color w:val="000000"/>
        </w:rPr>
      </w:pPr>
      <w:r w:rsidRPr="00220069">
        <w:rPr>
          <w:color w:val="000000"/>
        </w:rPr>
        <w:t>La Corte Interamericana advirtió que "</w:t>
      </w:r>
      <w:r w:rsidR="00220069" w:rsidRPr="00220069">
        <w:rPr>
          <w:color w:val="000000"/>
        </w:rPr>
        <w:t>...</w:t>
      </w:r>
      <w:r w:rsidRPr="00220069">
        <w:rPr>
          <w:color w:val="000000"/>
        </w:rPr>
        <w:t xml:space="preserve">la ineficacia judicial frente a casos individuales de violencia contra las mujeres propicia un ambiente de impunidad que facilita y promueve la repetición de los hechos de violencia en general y envía un mensaje según el cual la violencia contra las mujeres puede ser tolerada y aceptada como parte del diario vivir" ("Campo Algodonero", </w:t>
      </w:r>
      <w:proofErr w:type="spellStart"/>
      <w:r w:rsidRPr="00220069">
        <w:rPr>
          <w:color w:val="000000"/>
        </w:rPr>
        <w:t>op</w:t>
      </w:r>
      <w:proofErr w:type="spellEnd"/>
      <w:r w:rsidRPr="00220069">
        <w:rPr>
          <w:color w:val="000000"/>
        </w:rPr>
        <w:t>. cit., párr. 388). Y ello, añadió la Corte, "</w:t>
      </w:r>
      <w:r w:rsidR="00220069" w:rsidRPr="00220069">
        <w:rPr>
          <w:color w:val="000000"/>
        </w:rPr>
        <w:t>...</w:t>
      </w:r>
      <w:r w:rsidRPr="00220069">
        <w:rPr>
          <w:color w:val="000000"/>
        </w:rPr>
        <w:t>favorece su perpetuación y la aceptación social del fenómeno, el sentimiento y la sensación de inseguridad en las mujeres, así como una persistente desconfianza de éstas en el sistema de administración de justicia" (</w:t>
      </w:r>
      <w:r w:rsidRPr="00220069">
        <w:rPr>
          <w:i/>
          <w:color w:val="000000"/>
        </w:rPr>
        <w:t>ibídem</w:t>
      </w:r>
      <w:r w:rsidRPr="00220069">
        <w:rPr>
          <w:color w:val="000000"/>
        </w:rPr>
        <w:t>, párr. 400).</w:t>
      </w:r>
    </w:p>
    <w:p w:rsidR="00362914" w:rsidRPr="00220069" w:rsidRDefault="00362914" w:rsidP="00220069">
      <w:pPr>
        <w:widowControl w:val="0"/>
        <w:spacing w:line="360" w:lineRule="auto"/>
        <w:ind w:firstLine="1417"/>
        <w:jc w:val="both"/>
        <w:rPr>
          <w:color w:val="000000"/>
        </w:rPr>
      </w:pPr>
      <w:r w:rsidRPr="00220069">
        <w:rPr>
          <w:color w:val="000000"/>
        </w:rPr>
        <w:t xml:space="preserve">Sobre tal obligación el art. 7 de la Convención </w:t>
      </w:r>
      <w:r w:rsidRPr="00220069">
        <w:rPr>
          <w:color w:val="000000"/>
        </w:rPr>
        <w:lastRenderedPageBreak/>
        <w:t xml:space="preserve">de Belem do Pará establece que "Los Estados Partes condenan todas las formas de violencia contra la mujer y convienen en adoptar, por todos los medios apropiados y sin dilaciones, políticas, orientadas a prevenir, sancionar y erradicar dicha violencia y en llevar a cabo [entre otras cuestiones] lo siguiente: [...] b) actuar con la debida diligencia para prevenir, investigar y sancionar la violencia contra la mujer; [...] e) tomar todas las medidas apropiadas, incluyendo medidas de tipo legislativo, para modificar o abolir leyes y reglamentos vigentes, o para modificar prácticas jurídicas o consuetudinarias que respalden la persistencia o la tolerancia de la violencia contra la mujer; f) establecer procedimientos legales justos y eficaces para la mujer que haya sido sometida a violencia, que incluyan, entre otros, medidas de protección, un juicio oportuno y el acceso efectivo a tales procedimientos" (conf. </w:t>
      </w:r>
      <w:r w:rsidR="002D1B5D">
        <w:rPr>
          <w:color w:val="000000"/>
        </w:rPr>
        <w:t xml:space="preserve">causa </w:t>
      </w:r>
      <w:r w:rsidRPr="00220069">
        <w:rPr>
          <w:color w:val="000000"/>
        </w:rPr>
        <w:t xml:space="preserve">P. 116.459, </w:t>
      </w:r>
      <w:proofErr w:type="spellStart"/>
      <w:r w:rsidRPr="00220069">
        <w:rPr>
          <w:color w:val="000000"/>
        </w:rPr>
        <w:t>sent</w:t>
      </w:r>
      <w:proofErr w:type="spellEnd"/>
      <w:r w:rsidRPr="00220069">
        <w:rPr>
          <w:color w:val="000000"/>
        </w:rPr>
        <w:t>. de 26-III-2014).</w:t>
      </w:r>
    </w:p>
    <w:p w:rsidR="00362914" w:rsidRPr="00220069" w:rsidRDefault="00362914" w:rsidP="00220069">
      <w:pPr>
        <w:widowControl w:val="0"/>
        <w:spacing w:line="360" w:lineRule="auto"/>
        <w:ind w:firstLine="1417"/>
        <w:jc w:val="both"/>
        <w:rPr>
          <w:color w:val="000000"/>
        </w:rPr>
      </w:pPr>
      <w:r w:rsidRPr="00220069">
        <w:rPr>
          <w:color w:val="000000"/>
        </w:rPr>
        <w:t xml:space="preserve">Desde esa perspectiva, en referencia al papel que juegan los pronunciamientos judiciales, la Corte Suprema de Justicia de la Nación ha sostenido "Que el deber del Estado de respetar los derechos reconocidos en la Convención Americana sobre Derechos Humanos, incumbe a </w:t>
      </w:r>
      <w:r w:rsidRPr="000E3DB2">
        <w:rPr>
          <w:color w:val="000000"/>
          <w:spacing w:val="-6"/>
        </w:rPr>
        <w:t xml:space="preserve">cualquier poder y órgano, independientemente de su jerarquía, so pena de incurrir en responsabilidad internacional (Caso 'Última tentación de Cristo (Olmedo Bustos y otros)' Serie C 73, sentencia de 5 de febrero de 2001 de la Corte Interamericana de Derechos Humanos). No se deja de apreciar entonces, que todos los órganos del Estado deben asumir los roles de garante (art. 1.1 Convención Americana), que a cada </w:t>
      </w:r>
      <w:r w:rsidRPr="000E3DB2">
        <w:rPr>
          <w:color w:val="000000"/>
          <w:spacing w:val="-6"/>
        </w:rPr>
        <w:lastRenderedPageBreak/>
        <w:t xml:space="preserve">uno, de acuerdo a sus atribuciones constitucionales y legales, les corresponde. Así, entre 'las medidas de otra índole' que el Estado debe arbitrar para dar efectividad a los derechos reconocidos en la Convención (art. 2) se inscriben las sentencias judiciales" (CS, "García Méndez", </w:t>
      </w:r>
      <w:proofErr w:type="spellStart"/>
      <w:r w:rsidRPr="000E3DB2">
        <w:rPr>
          <w:color w:val="000000"/>
          <w:spacing w:val="-6"/>
        </w:rPr>
        <w:t>sent</w:t>
      </w:r>
      <w:proofErr w:type="spellEnd"/>
      <w:r w:rsidRPr="000E3DB2">
        <w:rPr>
          <w:color w:val="000000"/>
          <w:spacing w:val="-6"/>
        </w:rPr>
        <w:t xml:space="preserve">. de 2-XII-2012, </w:t>
      </w:r>
      <w:proofErr w:type="spellStart"/>
      <w:r w:rsidRPr="000E3DB2">
        <w:rPr>
          <w:color w:val="000000"/>
          <w:spacing w:val="-6"/>
        </w:rPr>
        <w:t>cons</w:t>
      </w:r>
      <w:proofErr w:type="spellEnd"/>
      <w:r w:rsidRPr="000E3DB2">
        <w:rPr>
          <w:color w:val="000000"/>
          <w:spacing w:val="-6"/>
        </w:rPr>
        <w:t>. 10).</w:t>
      </w:r>
    </w:p>
    <w:p w:rsidR="00362914" w:rsidRPr="00220069" w:rsidRDefault="00362914" w:rsidP="00220069">
      <w:pPr>
        <w:widowControl w:val="0"/>
        <w:spacing w:line="360" w:lineRule="auto"/>
        <w:ind w:firstLine="1417"/>
        <w:jc w:val="both"/>
        <w:rPr>
          <w:color w:val="000000"/>
        </w:rPr>
      </w:pPr>
      <w:r w:rsidRPr="00220069">
        <w:rPr>
          <w:color w:val="000000"/>
        </w:rPr>
        <w:t>En esa línea, según el art. 5 de la CEDAW, "Los Estados Partes tomarán todas las medidas apropiadas para: 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r w:rsidR="00220069" w:rsidRPr="00220069">
        <w:rPr>
          <w:color w:val="000000"/>
        </w:rPr>
        <w:t>...</w:t>
      </w:r>
      <w:r w:rsidRPr="00220069">
        <w:rPr>
          <w:color w:val="000000"/>
        </w:rPr>
        <w:t>". También la Declaración sobre la eliminación de la violencia contra la mujer, aprobada por la Asamblea General de las Naciones Unidas en 1993, insta a los Estados a "Proceder con la debida diligencia a fin de prevenir, investigar y, conforme a la legislación nacional, castigar todo acto de violencia contra la mujer, ya se trate de actos perpetrados por el Estado o por particulares" (art. 4, apdo. c).</w:t>
      </w:r>
    </w:p>
    <w:p w:rsidR="00362914" w:rsidRPr="00220069" w:rsidRDefault="00362914" w:rsidP="00220069">
      <w:pPr>
        <w:widowControl w:val="0"/>
        <w:spacing w:line="360" w:lineRule="auto"/>
        <w:ind w:firstLine="1417"/>
        <w:jc w:val="both"/>
        <w:rPr>
          <w:color w:val="000000"/>
        </w:rPr>
      </w:pPr>
      <w:r w:rsidRPr="00220069">
        <w:rPr>
          <w:color w:val="000000"/>
        </w:rPr>
        <w:t>Igualmente esta Suprema Corte se ha expedido sobre la necesidad de lograr el establecimiento de un sistema de justicia permeable a las consideraciones de género, como garantía de no repetición (</w:t>
      </w:r>
      <w:r w:rsidR="002D1B5D">
        <w:rPr>
          <w:color w:val="000000"/>
        </w:rPr>
        <w:t xml:space="preserve">causa </w:t>
      </w:r>
      <w:r w:rsidRPr="00220069">
        <w:rPr>
          <w:color w:val="000000"/>
        </w:rPr>
        <w:t>C.</w:t>
      </w:r>
      <w:r w:rsidR="002D1B5D">
        <w:rPr>
          <w:color w:val="000000"/>
        </w:rPr>
        <w:t xml:space="preserve"> </w:t>
      </w:r>
      <w:r w:rsidRPr="00220069">
        <w:rPr>
          <w:color w:val="000000"/>
        </w:rPr>
        <w:t xml:space="preserve">118.472, </w:t>
      </w:r>
      <w:proofErr w:type="spellStart"/>
      <w:r w:rsidRPr="00220069">
        <w:rPr>
          <w:color w:val="000000"/>
        </w:rPr>
        <w:t>sent</w:t>
      </w:r>
      <w:proofErr w:type="spellEnd"/>
      <w:r w:rsidRPr="00220069">
        <w:rPr>
          <w:color w:val="000000"/>
        </w:rPr>
        <w:t xml:space="preserve">. de 4-XI-2015, </w:t>
      </w:r>
      <w:proofErr w:type="spellStart"/>
      <w:r w:rsidR="00220069" w:rsidRPr="00220069">
        <w:rPr>
          <w:color w:val="000000"/>
        </w:rPr>
        <w:t>e.o</w:t>
      </w:r>
      <w:proofErr w:type="spellEnd"/>
      <w:r w:rsidR="00220069" w:rsidRPr="00220069">
        <w:rPr>
          <w:color w:val="000000"/>
        </w:rPr>
        <w:t>.</w:t>
      </w:r>
      <w:r w:rsidRPr="00220069">
        <w:rPr>
          <w:color w:val="000000"/>
        </w:rPr>
        <w:t>).</w:t>
      </w:r>
    </w:p>
    <w:p w:rsidR="00362914" w:rsidRPr="00220069" w:rsidRDefault="00362914" w:rsidP="00220069">
      <w:pPr>
        <w:widowControl w:val="0"/>
        <w:spacing w:line="360" w:lineRule="auto"/>
        <w:ind w:firstLine="1417"/>
        <w:jc w:val="both"/>
        <w:rPr>
          <w:color w:val="000000"/>
        </w:rPr>
      </w:pPr>
      <w:r w:rsidRPr="00220069">
        <w:rPr>
          <w:color w:val="000000"/>
        </w:rPr>
        <w:t xml:space="preserve">VII. Por lo expuesto, corresponde hacer lugar al recurso extraordinario de inaplicabilidad de ley interpuesto por la particular damnificada, dejar sin efecto la sentencia de la Sala Segunda de la Cámara de </w:t>
      </w:r>
      <w:r w:rsidRPr="00220069">
        <w:rPr>
          <w:color w:val="000000"/>
        </w:rPr>
        <w:lastRenderedPageBreak/>
        <w:t>Apelación y Garantías en lo Penal de Lomas de Zamora y devolver los autos a fin de que se dicte un nuevo fallo ajustado a derecho, sin dejar de examinar la vigencia de la acción penal (art. 496, CPP).</w:t>
      </w:r>
    </w:p>
    <w:p w:rsidR="00362914" w:rsidRPr="00220069" w:rsidRDefault="00362914" w:rsidP="00220069">
      <w:pPr>
        <w:widowControl w:val="0"/>
        <w:spacing w:line="360" w:lineRule="auto"/>
        <w:ind w:firstLine="1417"/>
        <w:jc w:val="both"/>
        <w:rPr>
          <w:color w:val="000000"/>
        </w:rPr>
      </w:pPr>
      <w:r w:rsidRPr="00220069">
        <w:rPr>
          <w:color w:val="000000"/>
        </w:rPr>
        <w:t>VIII. Por último, en el caso, en lo que hace a la regulación de los honorarios profesionales, y conforme los lineamientos sentados por esta Corte en el Acuerdo 3871</w:t>
      </w:r>
      <w:r w:rsidR="002D1B5D">
        <w:rPr>
          <w:color w:val="000000"/>
        </w:rPr>
        <w:t xml:space="preserve">, de </w:t>
      </w:r>
      <w:r w:rsidRPr="00220069">
        <w:rPr>
          <w:color w:val="000000"/>
        </w:rPr>
        <w:t xml:space="preserve">25-X-2017, resulta aplicable el régimen arancelario del decreto ley 8.904/77, a la luz de la observación efectuada por el Poder Ejecutivo al contenido del art. 61 de dicha ley </w:t>
      </w:r>
      <w:r w:rsidR="002D1B5D">
        <w:rPr>
          <w:color w:val="000000"/>
        </w:rPr>
        <w:t>-</w:t>
      </w:r>
      <w:r w:rsidRPr="00220069">
        <w:rPr>
          <w:color w:val="000000"/>
        </w:rPr>
        <w:t>que establecía la aplicación del nuevo régimen a todos los procesos en los que, al tiempo de su promulgación, no exista resolución firme sobre regulación de honorarios</w:t>
      </w:r>
      <w:r w:rsidR="002D1B5D">
        <w:rPr>
          <w:color w:val="000000"/>
        </w:rPr>
        <w:t>-</w:t>
      </w:r>
      <w:r w:rsidRPr="00220069">
        <w:rPr>
          <w:color w:val="000000"/>
        </w:rPr>
        <w:t xml:space="preserve"> al considerar que la aplicación retroactiva de la misma podría vulnerar derechos adquiridos (conf. causa I-73.016, resol. de 8-XI-2017).</w:t>
      </w:r>
    </w:p>
    <w:p w:rsidR="00362914" w:rsidRPr="00220069" w:rsidRDefault="00362914" w:rsidP="00220069">
      <w:pPr>
        <w:widowControl w:val="0"/>
        <w:spacing w:line="360" w:lineRule="auto"/>
        <w:ind w:firstLine="1417"/>
        <w:jc w:val="both"/>
        <w:rPr>
          <w:color w:val="000000"/>
        </w:rPr>
      </w:pPr>
      <w:r w:rsidRPr="00220069">
        <w:rPr>
          <w:color w:val="000000"/>
        </w:rPr>
        <w:t xml:space="preserve">Voto por la </w:t>
      </w:r>
      <w:r w:rsidRPr="00220069">
        <w:rPr>
          <w:b/>
          <w:color w:val="000000"/>
        </w:rPr>
        <w:t>afirmativa</w:t>
      </w:r>
      <w:r w:rsidRPr="00220069">
        <w:rPr>
          <w:color w:val="000000"/>
        </w:rPr>
        <w:t>.</w:t>
      </w:r>
    </w:p>
    <w:p w:rsidR="00362914" w:rsidRPr="00220069" w:rsidRDefault="00362914" w:rsidP="00220069">
      <w:pPr>
        <w:widowControl w:val="0"/>
        <w:spacing w:line="360" w:lineRule="auto"/>
        <w:ind w:firstLine="1417"/>
        <w:jc w:val="both"/>
        <w:rPr>
          <w:b/>
          <w:color w:val="000000"/>
        </w:rPr>
      </w:pPr>
      <w:r w:rsidRPr="00220069">
        <w:rPr>
          <w:b/>
          <w:color w:val="000000"/>
        </w:rPr>
        <w:t>A la cuestión planteada, el señor Juez doctor Soria dijo:</w:t>
      </w:r>
    </w:p>
    <w:p w:rsidR="00362914" w:rsidRPr="00220069" w:rsidRDefault="00362914" w:rsidP="00220069">
      <w:pPr>
        <w:widowControl w:val="0"/>
        <w:spacing w:line="360" w:lineRule="auto"/>
        <w:ind w:firstLine="1417"/>
        <w:jc w:val="both"/>
        <w:rPr>
          <w:color w:val="000000"/>
        </w:rPr>
      </w:pPr>
      <w:r w:rsidRPr="00220069">
        <w:rPr>
          <w:color w:val="000000"/>
        </w:rPr>
        <w:t xml:space="preserve">Concuerdo con el voto del colega ponente, doctor de </w:t>
      </w:r>
      <w:proofErr w:type="spellStart"/>
      <w:r w:rsidRPr="00220069">
        <w:rPr>
          <w:color w:val="000000"/>
        </w:rPr>
        <w:t>Lázzari</w:t>
      </w:r>
      <w:proofErr w:type="spellEnd"/>
      <w:r w:rsidRPr="00220069">
        <w:rPr>
          <w:color w:val="000000"/>
        </w:rPr>
        <w:t>, con el alcance que surge del dictamen de la Procuración General, cuyas consideraciones hago propias (v. fs. 612/620 vta.), a efectos de no incurrir en repeticiones innecesarias.</w:t>
      </w:r>
    </w:p>
    <w:p w:rsidR="00362914" w:rsidRPr="000E3DB2" w:rsidRDefault="00362914" w:rsidP="00220069">
      <w:pPr>
        <w:widowControl w:val="0"/>
        <w:spacing w:line="360" w:lineRule="auto"/>
        <w:ind w:firstLine="1417"/>
        <w:jc w:val="both"/>
        <w:rPr>
          <w:color w:val="000000"/>
          <w:spacing w:val="-6"/>
        </w:rPr>
      </w:pPr>
      <w:r w:rsidRPr="000E3DB2">
        <w:rPr>
          <w:color w:val="000000"/>
          <w:spacing w:val="-6"/>
        </w:rPr>
        <w:t xml:space="preserve">En particular, en cuanto queda de manifiesto la arbitrariedad de los </w:t>
      </w:r>
      <w:proofErr w:type="spellStart"/>
      <w:r w:rsidRPr="000E3DB2">
        <w:rPr>
          <w:color w:val="000000"/>
          <w:spacing w:val="-6"/>
        </w:rPr>
        <w:t>sentenciantes</w:t>
      </w:r>
      <w:proofErr w:type="spellEnd"/>
      <w:r w:rsidRPr="000E3DB2">
        <w:rPr>
          <w:color w:val="000000"/>
          <w:spacing w:val="-6"/>
        </w:rPr>
        <w:t xml:space="preserve"> de ambas instancias de grado en la ponderación de los elementos de prueba, de conformidad con el sentido que a esa expresión ha conferido la Corte Suprema de Justicia de la Nación, pues no puede reputarse la sentencia atacada como derivación razonada del </w:t>
      </w:r>
      <w:r w:rsidRPr="000E3DB2">
        <w:rPr>
          <w:color w:val="000000"/>
          <w:spacing w:val="-6"/>
        </w:rPr>
        <w:lastRenderedPageBreak/>
        <w:t>derecho vigente a tenor de las constancias comprobadas del caso; y que tal como sostiene la impugnante el fallo ha prescindido de un enfoque con perspectiva de género pese a que la particular damnificada especialmente abogó por la aplicación real</w:t>
      </w:r>
      <w:r w:rsidR="00220069" w:rsidRPr="000E3DB2">
        <w:rPr>
          <w:color w:val="000000"/>
          <w:spacing w:val="-6"/>
        </w:rPr>
        <w:t xml:space="preserve"> </w:t>
      </w:r>
      <w:r w:rsidR="00220069" w:rsidRPr="000E3DB2">
        <w:rPr>
          <w:color w:val="000000"/>
          <w:spacing w:val="-6"/>
        </w:rPr>
        <w:noBreakHyphen/>
      </w:r>
      <w:r w:rsidRPr="000E3DB2">
        <w:rPr>
          <w:color w:val="000000"/>
          <w:spacing w:val="-6"/>
        </w:rPr>
        <w:t>y no meramente enunciativa y dogmática- de la ley 24.632 que aprobó la Convención de Belem do Pará y de la ley 26.485 de Protección Integral para Prevenir, Sancionar y Erradicar la Violencia contra las Mujeres en los ámbitos en que desarrollen sus relaciones interpersonales (v. fs. 429/430 vta.), según se expone en el voto al que acompaño.</w:t>
      </w:r>
    </w:p>
    <w:p w:rsidR="00362914" w:rsidRPr="000E3DB2" w:rsidRDefault="00362914" w:rsidP="00220069">
      <w:pPr>
        <w:widowControl w:val="0"/>
        <w:spacing w:line="360" w:lineRule="auto"/>
        <w:ind w:firstLine="1417"/>
        <w:jc w:val="both"/>
        <w:rPr>
          <w:color w:val="000000"/>
          <w:spacing w:val="-4"/>
        </w:rPr>
      </w:pPr>
      <w:r w:rsidRPr="000E3DB2">
        <w:rPr>
          <w:color w:val="000000"/>
          <w:spacing w:val="-4"/>
        </w:rPr>
        <w:t xml:space="preserve">Voto por la </w:t>
      </w:r>
      <w:r w:rsidRPr="000E3DB2">
        <w:rPr>
          <w:b/>
          <w:color w:val="000000"/>
          <w:spacing w:val="-4"/>
        </w:rPr>
        <w:t>afirmativa.</w:t>
      </w:r>
    </w:p>
    <w:p w:rsidR="00362914" w:rsidRPr="000E3DB2" w:rsidRDefault="00362914" w:rsidP="00220069">
      <w:pPr>
        <w:widowControl w:val="0"/>
        <w:spacing w:line="360" w:lineRule="auto"/>
        <w:ind w:firstLine="1417"/>
        <w:jc w:val="both"/>
        <w:rPr>
          <w:b/>
          <w:color w:val="000000"/>
          <w:spacing w:val="-4"/>
        </w:rPr>
      </w:pPr>
      <w:r w:rsidRPr="000E3DB2">
        <w:rPr>
          <w:color w:val="000000"/>
          <w:spacing w:val="-4"/>
        </w:rPr>
        <w:t xml:space="preserve">La señora Jueza doctora </w:t>
      </w:r>
      <w:proofErr w:type="spellStart"/>
      <w:r w:rsidRPr="000E3DB2">
        <w:rPr>
          <w:b/>
          <w:color w:val="000000"/>
          <w:spacing w:val="-4"/>
        </w:rPr>
        <w:t>Kogan</w:t>
      </w:r>
      <w:proofErr w:type="spellEnd"/>
      <w:r w:rsidR="002D1B5D" w:rsidRPr="000E3DB2">
        <w:rPr>
          <w:b/>
          <w:color w:val="000000"/>
          <w:spacing w:val="-4"/>
        </w:rPr>
        <w:t>,</w:t>
      </w:r>
      <w:r w:rsidRPr="000E3DB2">
        <w:rPr>
          <w:color w:val="000000"/>
          <w:spacing w:val="-4"/>
        </w:rPr>
        <w:t xml:space="preserve"> por los mismos fundamentos del señor Juez doctor de </w:t>
      </w:r>
      <w:proofErr w:type="spellStart"/>
      <w:r w:rsidRPr="000E3DB2">
        <w:rPr>
          <w:color w:val="000000"/>
          <w:spacing w:val="-4"/>
        </w:rPr>
        <w:t>Lázzari</w:t>
      </w:r>
      <w:proofErr w:type="spellEnd"/>
      <w:r w:rsidR="002D1B5D" w:rsidRPr="000E3DB2">
        <w:rPr>
          <w:color w:val="000000"/>
          <w:spacing w:val="-4"/>
        </w:rPr>
        <w:t>, votó</w:t>
      </w:r>
      <w:r w:rsidRPr="000E3DB2">
        <w:rPr>
          <w:color w:val="000000"/>
          <w:spacing w:val="-4"/>
        </w:rPr>
        <w:t xml:space="preserve"> </w:t>
      </w:r>
      <w:r w:rsidR="002D1B5D" w:rsidRPr="000E3DB2">
        <w:rPr>
          <w:color w:val="000000"/>
          <w:spacing w:val="-4"/>
        </w:rPr>
        <w:t xml:space="preserve">también </w:t>
      </w:r>
      <w:r w:rsidRPr="000E3DB2">
        <w:rPr>
          <w:color w:val="000000"/>
          <w:spacing w:val="-4"/>
        </w:rPr>
        <w:t xml:space="preserve">por la </w:t>
      </w:r>
      <w:r w:rsidRPr="000E3DB2">
        <w:rPr>
          <w:b/>
          <w:color w:val="000000"/>
          <w:spacing w:val="-4"/>
        </w:rPr>
        <w:t>afirmativa.</w:t>
      </w:r>
    </w:p>
    <w:p w:rsidR="00362914" w:rsidRPr="000E3DB2" w:rsidRDefault="00362914" w:rsidP="00220069">
      <w:pPr>
        <w:widowControl w:val="0"/>
        <w:spacing w:line="360" w:lineRule="auto"/>
        <w:ind w:firstLine="1417"/>
        <w:jc w:val="both"/>
        <w:rPr>
          <w:color w:val="000000"/>
          <w:spacing w:val="-4"/>
        </w:rPr>
      </w:pPr>
      <w:r w:rsidRPr="000E3DB2">
        <w:rPr>
          <w:color w:val="000000"/>
          <w:spacing w:val="-4"/>
        </w:rPr>
        <w:t xml:space="preserve">El señor Juez doctor </w:t>
      </w:r>
      <w:proofErr w:type="spellStart"/>
      <w:r w:rsidRPr="000E3DB2">
        <w:rPr>
          <w:b/>
          <w:color w:val="000000"/>
          <w:spacing w:val="-4"/>
        </w:rPr>
        <w:t>Genoud</w:t>
      </w:r>
      <w:proofErr w:type="spellEnd"/>
      <w:r w:rsidR="002D1B5D" w:rsidRPr="000E3DB2">
        <w:rPr>
          <w:b/>
          <w:color w:val="000000"/>
          <w:spacing w:val="-4"/>
        </w:rPr>
        <w:t>,</w:t>
      </w:r>
      <w:r w:rsidRPr="000E3DB2">
        <w:rPr>
          <w:color w:val="000000"/>
          <w:spacing w:val="-4"/>
        </w:rPr>
        <w:t xml:space="preserve"> por los mismos fundamentos del señor Juez doctor Soria</w:t>
      </w:r>
      <w:r w:rsidR="002D1B5D" w:rsidRPr="000E3DB2">
        <w:rPr>
          <w:color w:val="000000"/>
          <w:spacing w:val="-4"/>
        </w:rPr>
        <w:t>,</w:t>
      </w:r>
      <w:r w:rsidRPr="000E3DB2">
        <w:rPr>
          <w:color w:val="000000"/>
          <w:spacing w:val="-4"/>
        </w:rPr>
        <w:t xml:space="preserve"> votó también por la </w:t>
      </w:r>
      <w:r w:rsidRPr="000E3DB2">
        <w:rPr>
          <w:b/>
          <w:color w:val="000000"/>
          <w:spacing w:val="-4"/>
        </w:rPr>
        <w:t>afirmativa</w:t>
      </w:r>
      <w:r w:rsidRPr="000E3DB2">
        <w:rPr>
          <w:color w:val="000000"/>
          <w:spacing w:val="-4"/>
        </w:rPr>
        <w:t>.</w:t>
      </w:r>
    </w:p>
    <w:p w:rsidR="00220069" w:rsidRPr="00220069" w:rsidRDefault="00362914" w:rsidP="00220069">
      <w:pPr>
        <w:widowControl w:val="0"/>
        <w:spacing w:line="360" w:lineRule="auto"/>
        <w:ind w:firstLine="1417"/>
        <w:jc w:val="both"/>
        <w:rPr>
          <w:color w:val="000000"/>
        </w:rPr>
      </w:pPr>
      <w:r w:rsidRPr="00220069">
        <w:rPr>
          <w:color w:val="000000"/>
        </w:rPr>
        <w:t>Con lo que terminó el acuerdo, dictándose la siguiente</w:t>
      </w:r>
    </w:p>
    <w:p w:rsidR="00362914" w:rsidRPr="00220069" w:rsidRDefault="00220069" w:rsidP="00220069">
      <w:pPr>
        <w:widowControl w:val="0"/>
        <w:spacing w:line="360" w:lineRule="auto"/>
        <w:jc w:val="center"/>
        <w:rPr>
          <w:b/>
          <w:color w:val="000000"/>
        </w:rPr>
      </w:pPr>
      <w:r w:rsidRPr="00220069">
        <w:rPr>
          <w:color w:val="000000"/>
        </w:rPr>
        <w:t xml:space="preserve"> </w:t>
      </w:r>
      <w:r w:rsidR="00362914" w:rsidRPr="00220069">
        <w:rPr>
          <w:b/>
          <w:color w:val="000000"/>
        </w:rPr>
        <w:t>S E N T E N C I A</w:t>
      </w:r>
    </w:p>
    <w:p w:rsidR="00362914" w:rsidRPr="00220069" w:rsidRDefault="00362914" w:rsidP="00220069">
      <w:pPr>
        <w:widowControl w:val="0"/>
        <w:spacing w:line="360" w:lineRule="auto"/>
        <w:ind w:firstLine="1417"/>
        <w:jc w:val="both"/>
        <w:rPr>
          <w:color w:val="000000"/>
        </w:rPr>
      </w:pPr>
      <w:r w:rsidRPr="00220069">
        <w:rPr>
          <w:color w:val="000000"/>
        </w:rPr>
        <w:t>Por lo expuesto en el acuerdo que antecede, de conformidad con lo dictaminado por el señor Procurador General</w:t>
      </w:r>
      <w:r w:rsidR="002D1B5D">
        <w:rPr>
          <w:color w:val="000000"/>
        </w:rPr>
        <w:t>,</w:t>
      </w:r>
      <w:r w:rsidRPr="00220069">
        <w:rPr>
          <w:color w:val="000000"/>
        </w:rPr>
        <w:t xml:space="preserve"> se hace lugar al recurso extraordinario de inaplicabilidad de ley interpuesto por la particular damnificada, se deja sin efecto la sentencia de fs. 443/447 pronunciada por la Sala II de la Cámara de Apelación y Garantías en lo Penal del Departamento Judicial de Lomas de Zamora, y se remiten los autos al inferior a fin de que se dicte un nuevo fallo ajustado a derecho, sin dejar de examinar la vigencia de la acción penal (</w:t>
      </w:r>
      <w:proofErr w:type="spellStart"/>
      <w:r w:rsidRPr="00220069">
        <w:rPr>
          <w:color w:val="000000"/>
        </w:rPr>
        <w:t>doctr</w:t>
      </w:r>
      <w:proofErr w:type="spellEnd"/>
      <w:r w:rsidRPr="00220069">
        <w:rPr>
          <w:color w:val="000000"/>
        </w:rPr>
        <w:t xml:space="preserve">. arts. 496 </w:t>
      </w:r>
      <w:r w:rsidRPr="00220069">
        <w:rPr>
          <w:color w:val="000000"/>
        </w:rPr>
        <w:lastRenderedPageBreak/>
        <w:t xml:space="preserve">y </w:t>
      </w:r>
      <w:proofErr w:type="spellStart"/>
      <w:r w:rsidRPr="00220069">
        <w:rPr>
          <w:color w:val="000000"/>
        </w:rPr>
        <w:t>concs</w:t>
      </w:r>
      <w:proofErr w:type="spellEnd"/>
      <w:r w:rsidRPr="00220069">
        <w:rPr>
          <w:color w:val="000000"/>
        </w:rPr>
        <w:t>., CPP).</w:t>
      </w:r>
    </w:p>
    <w:p w:rsidR="00362914" w:rsidRPr="00220069" w:rsidRDefault="00362914" w:rsidP="00220069">
      <w:pPr>
        <w:widowControl w:val="0"/>
        <w:spacing w:line="360" w:lineRule="auto"/>
        <w:ind w:firstLine="1417"/>
        <w:jc w:val="both"/>
        <w:rPr>
          <w:color w:val="000000"/>
        </w:rPr>
      </w:pPr>
      <w:r w:rsidRPr="00220069">
        <w:rPr>
          <w:color w:val="000000"/>
        </w:rPr>
        <w:t xml:space="preserve">Se difiere para su oportunidad la regulación de honorarios profesionales por los trabajos desarrollados ante esta instancia (art. 31 segundo párrafo, </w:t>
      </w:r>
      <w:proofErr w:type="spellStart"/>
      <w:r w:rsidRPr="00220069">
        <w:rPr>
          <w:color w:val="000000"/>
        </w:rPr>
        <w:t>dec</w:t>
      </w:r>
      <w:proofErr w:type="spellEnd"/>
      <w:r w:rsidRPr="00220069">
        <w:rPr>
          <w:color w:val="000000"/>
        </w:rPr>
        <w:t>. ley 8.904/77 y Acuerdo 3871</w:t>
      </w:r>
      <w:r w:rsidR="002D1B5D">
        <w:rPr>
          <w:color w:val="000000"/>
        </w:rPr>
        <w:t>,</w:t>
      </w:r>
      <w:r w:rsidRPr="00220069">
        <w:rPr>
          <w:color w:val="000000"/>
        </w:rPr>
        <w:t xml:space="preserve"> de esta Corte</w:t>
      </w:r>
      <w:r w:rsidR="002D1B5D">
        <w:rPr>
          <w:color w:val="000000"/>
        </w:rPr>
        <w:t>,</w:t>
      </w:r>
      <w:r w:rsidRPr="00220069">
        <w:rPr>
          <w:color w:val="000000"/>
        </w:rPr>
        <w:t xml:space="preserve"> de 25-X-2017).</w:t>
      </w:r>
    </w:p>
    <w:p w:rsidR="007763E0" w:rsidRPr="00220069" w:rsidRDefault="00362914" w:rsidP="00220069">
      <w:pPr>
        <w:widowControl w:val="0"/>
        <w:spacing w:line="360" w:lineRule="auto"/>
        <w:ind w:firstLine="1417"/>
        <w:jc w:val="both"/>
        <w:rPr>
          <w:color w:val="000000"/>
        </w:rPr>
      </w:pPr>
      <w:r w:rsidRPr="00220069">
        <w:rPr>
          <w:color w:val="000000"/>
        </w:rPr>
        <w:t>Regístrese y notifíquese.</w:t>
      </w:r>
      <w:r w:rsidR="00220069" w:rsidRPr="00220069">
        <w:rPr>
          <w:color w:val="000000"/>
        </w:rPr>
        <w:t xml:space="preserve"> </w:t>
      </w:r>
    </w:p>
    <w:p w:rsidR="00220069" w:rsidRPr="00220069" w:rsidRDefault="00220069" w:rsidP="00220069">
      <w:pPr>
        <w:widowControl w:val="0"/>
        <w:spacing w:line="360" w:lineRule="auto"/>
        <w:jc w:val="both"/>
        <w:rPr>
          <w:color w:val="000000"/>
        </w:rPr>
      </w:pPr>
    </w:p>
    <w:p w:rsidR="00220069" w:rsidRPr="00220069" w:rsidRDefault="00220069" w:rsidP="00220069">
      <w:pPr>
        <w:widowControl w:val="0"/>
        <w:spacing w:line="360" w:lineRule="auto"/>
        <w:jc w:val="both"/>
        <w:rPr>
          <w:color w:val="000000"/>
        </w:rPr>
      </w:pPr>
    </w:p>
    <w:p w:rsidR="00220069" w:rsidRPr="00220069" w:rsidRDefault="00220069" w:rsidP="00220069">
      <w:pPr>
        <w:widowControl w:val="0"/>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r w:rsidRPr="00220069">
        <w:rPr>
          <w:color w:val="000000"/>
        </w:rPr>
        <w:tab/>
        <w:t>EDUARDO NESTOR DE LÁZZARI</w:t>
      </w: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1984"/>
          <w:tab w:val="center" w:pos="6236"/>
        </w:tabs>
        <w:spacing w:line="360" w:lineRule="auto"/>
        <w:jc w:val="both"/>
        <w:rPr>
          <w:color w:val="000000"/>
        </w:rPr>
      </w:pPr>
      <w:r w:rsidRPr="00220069">
        <w:rPr>
          <w:color w:val="000000"/>
        </w:rPr>
        <w:tab/>
        <w:t>DANIEL FERNANDO SORIA</w:t>
      </w:r>
      <w:r w:rsidRPr="00220069">
        <w:rPr>
          <w:color w:val="000000"/>
        </w:rPr>
        <w:tab/>
        <w:t>LUIS ESTEBAN GENOUD</w:t>
      </w:r>
    </w:p>
    <w:p w:rsidR="00220069" w:rsidRPr="00220069" w:rsidRDefault="00220069" w:rsidP="00220069">
      <w:pPr>
        <w:widowControl w:val="0"/>
        <w:tabs>
          <w:tab w:val="center" w:pos="1984"/>
          <w:tab w:val="center" w:pos="6236"/>
        </w:tabs>
        <w:spacing w:line="360" w:lineRule="auto"/>
        <w:jc w:val="both"/>
        <w:rPr>
          <w:color w:val="000000"/>
        </w:rPr>
      </w:pPr>
    </w:p>
    <w:p w:rsidR="00220069" w:rsidRPr="00220069" w:rsidRDefault="00220069" w:rsidP="00220069">
      <w:pPr>
        <w:widowControl w:val="0"/>
        <w:tabs>
          <w:tab w:val="center" w:pos="1984"/>
          <w:tab w:val="center" w:pos="6236"/>
        </w:tabs>
        <w:spacing w:line="360" w:lineRule="auto"/>
        <w:jc w:val="both"/>
        <w:rPr>
          <w:color w:val="000000"/>
        </w:rPr>
      </w:pPr>
    </w:p>
    <w:p w:rsidR="00220069" w:rsidRPr="00220069" w:rsidRDefault="00220069" w:rsidP="00220069">
      <w:pPr>
        <w:widowControl w:val="0"/>
        <w:tabs>
          <w:tab w:val="center" w:pos="1984"/>
          <w:tab w:val="center" w:pos="6236"/>
        </w:tabs>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r w:rsidRPr="00220069">
        <w:rPr>
          <w:color w:val="000000"/>
        </w:rPr>
        <w:tab/>
        <w:t>HILDA KOGAN</w:t>
      </w: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4110"/>
        </w:tabs>
        <w:spacing w:line="360" w:lineRule="auto"/>
        <w:jc w:val="both"/>
        <w:rPr>
          <w:color w:val="000000"/>
        </w:rPr>
      </w:pPr>
    </w:p>
    <w:p w:rsidR="00220069" w:rsidRPr="00220069" w:rsidRDefault="00220069" w:rsidP="00220069">
      <w:pPr>
        <w:widowControl w:val="0"/>
        <w:tabs>
          <w:tab w:val="center" w:pos="1984"/>
          <w:tab w:val="center" w:pos="6236"/>
        </w:tabs>
        <w:jc w:val="both"/>
        <w:rPr>
          <w:color w:val="000000"/>
        </w:rPr>
      </w:pPr>
      <w:r w:rsidRPr="00220069">
        <w:rPr>
          <w:color w:val="000000"/>
        </w:rPr>
        <w:tab/>
      </w:r>
      <w:r w:rsidRPr="00220069">
        <w:rPr>
          <w:color w:val="000000"/>
        </w:rPr>
        <w:tab/>
        <w:t xml:space="preserve">R. DANIEL MARTINEZ ASTORINO </w:t>
      </w:r>
    </w:p>
    <w:p w:rsidR="00220069" w:rsidRPr="00220069" w:rsidRDefault="00220069" w:rsidP="00220069">
      <w:pPr>
        <w:widowControl w:val="0"/>
        <w:tabs>
          <w:tab w:val="center" w:pos="1984"/>
          <w:tab w:val="center" w:pos="6236"/>
        </w:tabs>
        <w:jc w:val="both"/>
        <w:rPr>
          <w:color w:val="000000"/>
        </w:rPr>
      </w:pPr>
      <w:r w:rsidRPr="00220069">
        <w:rPr>
          <w:color w:val="000000"/>
        </w:rPr>
        <w:tab/>
      </w:r>
      <w:r w:rsidRPr="00220069">
        <w:rPr>
          <w:color w:val="000000"/>
        </w:rPr>
        <w:tab/>
        <w:t>Secretario</w:t>
      </w:r>
    </w:p>
    <w:sectPr w:rsidR="00220069" w:rsidRPr="00220069" w:rsidSect="00220069">
      <w:headerReference w:type="even" r:id="rId8"/>
      <w:headerReference w:type="default" r:id="rId9"/>
      <w:footerReference w:type="even" r:id="rId10"/>
      <w:footerReference w:type="default" r:id="rId11"/>
      <w:headerReference w:type="first" r:id="rId12"/>
      <w:footerReference w:type="first" r:id="rId13"/>
      <w:pgSz w:w="11906" w:h="16838"/>
      <w:pgMar w:top="2835" w:right="850" w:bottom="1134" w:left="2835" w:header="2835"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63C" w:rsidRDefault="0056463C" w:rsidP="00F1390F">
      <w:r>
        <w:separator/>
      </w:r>
    </w:p>
  </w:endnote>
  <w:endnote w:type="continuationSeparator" w:id="0">
    <w:p w:rsidR="0056463C" w:rsidRDefault="0056463C" w:rsidP="00F1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Palace Script MT">
    <w:panose1 w:val="030303020206070C0B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826" w:rsidRPr="00F1390F" w:rsidRDefault="001A4826" w:rsidP="001A4826">
    <w:pPr>
      <w:pStyle w:val="Piedepgina"/>
      <w:widowControl w:val="0"/>
      <w:tabs>
        <w:tab w:val="clear" w:pos="4252"/>
        <w:tab w:val="clear" w:pos="8504"/>
        <w:tab w:val="center" w:pos="4110"/>
        <w:tab w:val="right" w:pos="8220"/>
      </w:tabs>
      <w:jc w:val="right"/>
      <w:rPr>
        <w:color w:val="000000"/>
      </w:rPr>
    </w:pP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20</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-1 </w:instrText>
    </w:r>
    <w:r w:rsidRPr="00F1390F">
      <w:rPr>
        <w:color w:val="000000"/>
      </w:rPr>
      <w:fldChar w:fldCharType="separate"/>
    </w:r>
    <w:r w:rsidR="000977EE">
      <w:rPr>
        <w:noProof/>
        <w:color w:val="000000"/>
      </w:rPr>
      <w:instrText>23</w:instrText>
    </w:r>
    <w:r w:rsidRPr="00F1390F">
      <w:rPr>
        <w:color w:val="000000"/>
      </w:rPr>
      <w:fldChar w:fldCharType="end"/>
    </w:r>
    <w:r>
      <w:rPr>
        <w:color w:val="000000"/>
      </w:rPr>
      <w:instrText xml:space="preserve"> </w:instrText>
    </w:r>
    <w:r>
      <w:rPr>
        <w:color w:val="000000"/>
      </w:rPr>
      <w:fldChar w:fldCharType="begin"/>
    </w:r>
    <w:r>
      <w:rPr>
        <w:color w:val="000000"/>
      </w:rPr>
      <w:instrText xml:space="preserve"> DOCVARIABLE Siguen </w:instrText>
    </w:r>
    <w:r>
      <w:rPr>
        <w:color w:val="000000"/>
      </w:rPr>
      <w:fldChar w:fldCharType="separate"/>
    </w:r>
    <w:r w:rsidR="000E3DB2">
      <w:rPr>
        <w:color w:val="000000"/>
      </w:rPr>
      <w:instrText xml:space="preserve"> </w:instrText>
    </w:r>
    <w:r>
      <w:rPr>
        <w:color w:val="000000"/>
      </w:rPr>
      <w:fldChar w:fldCharType="end"/>
    </w:r>
    <w:r>
      <w:rPr>
        <w:color w:val="000000"/>
      </w:rPr>
      <w:instrText xml:space="preserve"> ""</w:instrText>
    </w:r>
    <w:r w:rsidRPr="00F1390F">
      <w:rPr>
        <w:color w:val="000000"/>
      </w:rPr>
      <w:instrText xml:space="preserve"> </w:instrText>
    </w:r>
    <w:r w:rsidRPr="00F1390F">
      <w:rPr>
        <w:color w:val="000000"/>
      </w:rPr>
      <w:fldChar w:fldCharType="end"/>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20</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 "" "///" </w:instrText>
    </w:r>
    <w:r w:rsidR="000977EE">
      <w:rPr>
        <w:color w:val="000000"/>
      </w:rPr>
      <w:fldChar w:fldCharType="separate"/>
    </w:r>
    <w:r w:rsidR="000977EE" w:rsidRPr="00F1390F">
      <w:rPr>
        <w:noProof/>
        <w:color w:val="000000"/>
      </w:rPr>
      <w:t>///</w:t>
    </w:r>
    <w:r w:rsidRPr="00F1390F">
      <w:rPr>
        <w:color w:val="000000"/>
      </w:rPr>
      <w:fldChar w:fldCharType="end"/>
    </w:r>
    <w:r w:rsidRPr="00F1390F">
      <w:rPr>
        <w:color w:val="00000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4826" w:rsidRPr="00F1390F" w:rsidRDefault="001A4826" w:rsidP="001A4826">
    <w:pPr>
      <w:pStyle w:val="Piedepgina"/>
      <w:widowControl w:val="0"/>
      <w:tabs>
        <w:tab w:val="clear" w:pos="4252"/>
        <w:tab w:val="clear" w:pos="8504"/>
        <w:tab w:val="center" w:pos="4110"/>
        <w:tab w:val="right" w:pos="8220"/>
      </w:tabs>
      <w:jc w:val="right"/>
      <w:rPr>
        <w:color w:val="000000"/>
      </w:rPr>
    </w:pP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21</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-1 </w:instrText>
    </w:r>
    <w:r w:rsidRPr="00F1390F">
      <w:rPr>
        <w:color w:val="000000"/>
      </w:rPr>
      <w:fldChar w:fldCharType="separate"/>
    </w:r>
    <w:r w:rsidR="000977EE">
      <w:rPr>
        <w:noProof/>
        <w:color w:val="000000"/>
      </w:rPr>
      <w:instrText>23</w:instrText>
    </w:r>
    <w:r w:rsidRPr="00F1390F">
      <w:rPr>
        <w:color w:val="000000"/>
      </w:rPr>
      <w:fldChar w:fldCharType="end"/>
    </w:r>
    <w:r>
      <w:rPr>
        <w:color w:val="000000"/>
      </w:rPr>
      <w:instrText xml:space="preserve"> </w:instrText>
    </w:r>
    <w:r>
      <w:rPr>
        <w:color w:val="000000"/>
      </w:rPr>
      <w:fldChar w:fldCharType="begin"/>
    </w:r>
    <w:r>
      <w:rPr>
        <w:color w:val="000000"/>
      </w:rPr>
      <w:instrText xml:space="preserve"> DOCVARIABLE  Siguen </w:instrText>
    </w:r>
    <w:r>
      <w:rPr>
        <w:color w:val="000000"/>
      </w:rPr>
      <w:fldChar w:fldCharType="separate"/>
    </w:r>
    <w:r w:rsidR="000E3DB2">
      <w:rPr>
        <w:color w:val="000000"/>
      </w:rPr>
      <w:instrText xml:space="preserve"> </w:instrText>
    </w:r>
    <w:r>
      <w:rPr>
        <w:color w:val="000000"/>
      </w:rPr>
      <w:fldChar w:fldCharType="end"/>
    </w:r>
    <w:r>
      <w:rPr>
        <w:color w:val="000000"/>
      </w:rPr>
      <w:instrText xml:space="preserve"> ""</w:instrText>
    </w:r>
    <w:r w:rsidRPr="00F1390F">
      <w:rPr>
        <w:color w:val="000000"/>
      </w:rPr>
      <w:instrText xml:space="preserve"> </w:instrText>
    </w:r>
    <w:r w:rsidRPr="00F1390F">
      <w:rPr>
        <w:color w:val="000000"/>
      </w:rPr>
      <w:fldChar w:fldCharType="end"/>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21</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 "" "///" </w:instrText>
    </w:r>
    <w:r w:rsidR="000977EE">
      <w:rPr>
        <w:color w:val="000000"/>
      </w:rPr>
      <w:fldChar w:fldCharType="separate"/>
    </w:r>
    <w:r w:rsidR="000977EE" w:rsidRPr="00F1390F">
      <w:rPr>
        <w:noProof/>
        <w:color w:val="000000"/>
      </w:rPr>
      <w:t>///</w:t>
    </w:r>
    <w:r w:rsidRPr="00F1390F">
      <w:rPr>
        <w:color w:val="000000"/>
      </w:rPr>
      <w:fldChar w:fldCharType="end"/>
    </w:r>
    <w:r w:rsidRPr="00F1390F">
      <w:rPr>
        <w:color w:val="00000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90F" w:rsidRPr="00F1390F" w:rsidRDefault="00F1390F" w:rsidP="00F1390F">
    <w:pPr>
      <w:pStyle w:val="Piedepgina"/>
      <w:widowControl w:val="0"/>
      <w:tabs>
        <w:tab w:val="clear" w:pos="4252"/>
        <w:tab w:val="clear" w:pos="8504"/>
        <w:tab w:val="center" w:pos="4110"/>
        <w:tab w:val="right" w:pos="8220"/>
      </w:tabs>
      <w:jc w:val="right"/>
      <w:rPr>
        <w:color w:val="000000"/>
      </w:rPr>
    </w:pPr>
    <w:r>
      <w:rPr>
        <w:color w:val="000000"/>
      </w:rPr>
      <w:t xml:space="preserve"> </w:t>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1</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-1 </w:instrText>
    </w:r>
    <w:r w:rsidRPr="00F1390F">
      <w:rPr>
        <w:color w:val="000000"/>
      </w:rPr>
      <w:fldChar w:fldCharType="separate"/>
    </w:r>
    <w:r w:rsidR="000977EE">
      <w:rPr>
        <w:noProof/>
        <w:color w:val="000000"/>
      </w:rPr>
      <w:instrText>23</w:instrText>
    </w:r>
    <w:r w:rsidRPr="00F1390F">
      <w:rPr>
        <w:color w:val="000000"/>
      </w:rPr>
      <w:fldChar w:fldCharType="end"/>
    </w:r>
    <w:r w:rsidR="001A4826">
      <w:rPr>
        <w:color w:val="000000"/>
      </w:rPr>
      <w:instrText xml:space="preserve"> </w:instrText>
    </w:r>
    <w:r w:rsidR="001A4826">
      <w:rPr>
        <w:color w:val="000000"/>
      </w:rPr>
      <w:fldChar w:fldCharType="begin"/>
    </w:r>
    <w:r w:rsidR="001A4826">
      <w:rPr>
        <w:color w:val="000000"/>
      </w:rPr>
      <w:instrText xml:space="preserve"> DOCVARIABLE  Siguen </w:instrText>
    </w:r>
    <w:r w:rsidR="001A4826">
      <w:rPr>
        <w:color w:val="000000"/>
      </w:rPr>
      <w:fldChar w:fldCharType="separate"/>
    </w:r>
    <w:r w:rsidR="000E3DB2">
      <w:rPr>
        <w:color w:val="000000"/>
      </w:rPr>
      <w:instrText xml:space="preserve"> </w:instrText>
    </w:r>
    <w:r w:rsidR="001A4826">
      <w:rPr>
        <w:color w:val="000000"/>
      </w:rPr>
      <w:fldChar w:fldCharType="end"/>
    </w:r>
    <w:r>
      <w:rPr>
        <w:color w:val="000000"/>
      </w:rPr>
      <w:instrText xml:space="preserve"> ""</w:instrText>
    </w:r>
    <w:r w:rsidRPr="00F1390F">
      <w:rPr>
        <w:color w:val="000000"/>
      </w:rPr>
      <w:instrText xml:space="preserve"> </w:instrText>
    </w:r>
    <w:r w:rsidRPr="00F1390F">
      <w:rPr>
        <w:color w:val="000000"/>
      </w:rPr>
      <w:fldChar w:fldCharType="end"/>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1</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Pr="00F1390F">
      <w:rPr>
        <w:color w:val="000000"/>
      </w:rPr>
      <w:instrText xml:space="preserve"> "" "///" </w:instrText>
    </w:r>
    <w:r w:rsidR="000977EE">
      <w:rPr>
        <w:color w:val="000000"/>
      </w:rPr>
      <w:fldChar w:fldCharType="separate"/>
    </w:r>
    <w:r w:rsidR="000977EE" w:rsidRPr="00F1390F">
      <w:rPr>
        <w:noProof/>
        <w:color w:val="000000"/>
      </w:rPr>
      <w:t>///</w:t>
    </w:r>
    <w:r w:rsidRPr="00F1390F">
      <w:rPr>
        <w:color w:val="000000"/>
      </w:rPr>
      <w:fldChar w:fldCharType="end"/>
    </w:r>
    <w:r w:rsidRPr="00F1390F">
      <w:rPr>
        <w:color w:val="00000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63C" w:rsidRDefault="0056463C" w:rsidP="00F1390F">
      <w:r>
        <w:separator/>
      </w:r>
    </w:p>
  </w:footnote>
  <w:footnote w:type="continuationSeparator" w:id="0">
    <w:p w:rsidR="0056463C" w:rsidRDefault="0056463C" w:rsidP="00F13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90F" w:rsidRPr="00F1390F" w:rsidRDefault="00F1390F" w:rsidP="00F1390F">
    <w:pPr>
      <w:pStyle w:val="Encabezado"/>
      <w:widowControl w:val="0"/>
      <w:tabs>
        <w:tab w:val="center" w:pos="4110"/>
        <w:tab w:val="right" w:pos="8220"/>
      </w:tabs>
      <w:spacing w:line="360" w:lineRule="auto"/>
      <w:jc w:val="both"/>
      <w:rPr>
        <w:color w:val="000000"/>
      </w:rPr>
    </w:pPr>
    <w:r w:rsidRPr="00F1390F">
      <w:rPr>
        <w:color w:val="000000"/>
      </w:rPr>
      <w:t>///</w:t>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20</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00695476">
      <w:rPr>
        <w:color w:val="000000"/>
      </w:rPr>
      <w:instrText xml:space="preserve"> </w:instrText>
    </w:r>
    <w:r w:rsidR="00695476">
      <w:rPr>
        <w:color w:val="000000"/>
      </w:rPr>
      <w:fldChar w:fldCharType="begin"/>
    </w:r>
    <w:r w:rsidR="00695476">
      <w:rPr>
        <w:color w:val="000000"/>
      </w:rPr>
      <w:instrText xml:space="preserve"> DOCVARIABLE  lasFirmas </w:instrText>
    </w:r>
    <w:r w:rsidR="00695476">
      <w:rPr>
        <w:color w:val="000000"/>
      </w:rPr>
      <w:fldChar w:fldCharType="separate"/>
    </w:r>
    <w:r w:rsidR="000E3DB2">
      <w:rPr>
        <w:color w:val="000000"/>
      </w:rPr>
      <w:instrText xml:space="preserve"> </w:instrText>
    </w:r>
    <w:r w:rsidR="00695476">
      <w:rPr>
        <w:color w:val="000000"/>
      </w:rPr>
      <w:fldChar w:fldCharType="end"/>
    </w:r>
    <w:r w:rsidRPr="00F1390F">
      <w:rPr>
        <w:color w:val="000000"/>
      </w:rPr>
      <w:instrText xml:space="preserve"> "" </w:instrText>
    </w:r>
    <w:r w:rsidRPr="00F1390F">
      <w:rPr>
        <w:color w:val="000000"/>
      </w:rPr>
      <w:fldChar w:fldCharType="end"/>
    </w:r>
    <w:r w:rsidRPr="00F1390F">
      <w:rPr>
        <w:color w:val="000000"/>
      </w:rPr>
      <w:tab/>
    </w:r>
    <w:r w:rsidRPr="00F1390F">
      <w:rPr>
        <w:color w:val="000000"/>
      </w:rPr>
      <w:tab/>
    </w:r>
    <w:r w:rsidRPr="00F1390F">
      <w:rPr>
        <w:color w:val="000000"/>
      </w:rPr>
      <w:fldChar w:fldCharType="begin"/>
    </w:r>
    <w:r w:rsidR="001A4826">
      <w:rPr>
        <w:color w:val="000000"/>
      </w:rPr>
      <w:instrText xml:space="preserve"> PAGE </w:instrText>
    </w:r>
    <w:r w:rsidRPr="00F1390F">
      <w:rPr>
        <w:color w:val="000000"/>
      </w:rPr>
      <w:fldChar w:fldCharType="separate"/>
    </w:r>
    <w:r w:rsidR="000977EE">
      <w:rPr>
        <w:noProof/>
        <w:color w:val="000000"/>
      </w:rPr>
      <w:t>20</w:t>
    </w:r>
    <w:r w:rsidRPr="00F1390F">
      <w:rPr>
        <w:color w:val="00000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90F" w:rsidRPr="00F1390F" w:rsidRDefault="00F1390F" w:rsidP="00F1390F">
    <w:pPr>
      <w:pStyle w:val="Encabezado"/>
      <w:widowControl w:val="0"/>
      <w:tabs>
        <w:tab w:val="center" w:pos="4110"/>
        <w:tab w:val="right" w:pos="8220"/>
      </w:tabs>
      <w:spacing w:line="360" w:lineRule="auto"/>
      <w:jc w:val="both"/>
      <w:rPr>
        <w:color w:val="000000"/>
      </w:rPr>
    </w:pPr>
    <w:r w:rsidRPr="00F1390F">
      <w:rPr>
        <w:color w:val="000000"/>
      </w:rPr>
      <w:t>///</w:t>
    </w:r>
    <w:r w:rsidRPr="00F1390F">
      <w:rPr>
        <w:color w:val="000000"/>
      </w:rPr>
      <w:fldChar w:fldCharType="begin"/>
    </w:r>
    <w:r w:rsidRPr="00F1390F">
      <w:rPr>
        <w:color w:val="000000"/>
      </w:rPr>
      <w:instrText xml:space="preserve"> IF </w:instrText>
    </w:r>
    <w:r w:rsidRPr="00F1390F">
      <w:rPr>
        <w:color w:val="000000"/>
      </w:rPr>
      <w:fldChar w:fldCharType="begin"/>
    </w:r>
    <w:r w:rsidRPr="00F1390F">
      <w:rPr>
        <w:color w:val="000000"/>
      </w:rPr>
      <w:instrText xml:space="preserve"> PAGE </w:instrText>
    </w:r>
    <w:r w:rsidRPr="00F1390F">
      <w:rPr>
        <w:color w:val="000000"/>
      </w:rPr>
      <w:fldChar w:fldCharType="separate"/>
    </w:r>
    <w:r w:rsidR="000977EE">
      <w:rPr>
        <w:noProof/>
        <w:color w:val="000000"/>
      </w:rPr>
      <w:instrText>21</w:instrText>
    </w:r>
    <w:r w:rsidRPr="00F1390F">
      <w:rPr>
        <w:color w:val="000000"/>
      </w:rPr>
      <w:fldChar w:fldCharType="end"/>
    </w:r>
    <w:r w:rsidRPr="00F1390F">
      <w:rPr>
        <w:color w:val="000000"/>
      </w:rPr>
      <w:instrText xml:space="preserve"> = </w:instrText>
    </w:r>
    <w:r w:rsidRPr="00F1390F">
      <w:rPr>
        <w:color w:val="000000"/>
      </w:rPr>
      <w:fldChar w:fldCharType="begin"/>
    </w:r>
    <w:r w:rsidRPr="00F1390F">
      <w:rPr>
        <w:color w:val="000000"/>
      </w:rPr>
      <w:instrText xml:space="preserve"> NUMPAGES </w:instrText>
    </w:r>
    <w:r w:rsidRPr="00F1390F">
      <w:rPr>
        <w:color w:val="000000"/>
      </w:rPr>
      <w:fldChar w:fldCharType="separate"/>
    </w:r>
    <w:r w:rsidR="000977EE">
      <w:rPr>
        <w:noProof/>
        <w:color w:val="000000"/>
      </w:rPr>
      <w:instrText>24</w:instrText>
    </w:r>
    <w:r w:rsidRPr="00F1390F">
      <w:rPr>
        <w:color w:val="000000"/>
      </w:rPr>
      <w:fldChar w:fldCharType="end"/>
    </w:r>
    <w:r w:rsidR="00695476">
      <w:rPr>
        <w:color w:val="000000"/>
      </w:rPr>
      <w:instrText xml:space="preserve"> </w:instrText>
    </w:r>
    <w:r w:rsidR="00695476">
      <w:rPr>
        <w:color w:val="000000"/>
      </w:rPr>
      <w:fldChar w:fldCharType="begin"/>
    </w:r>
    <w:r w:rsidR="00695476">
      <w:rPr>
        <w:color w:val="000000"/>
      </w:rPr>
      <w:instrText xml:space="preserve"> DOCVARIABLE  </w:instrText>
    </w:r>
    <w:r w:rsidR="00702BB2">
      <w:rPr>
        <w:color w:val="000000"/>
      </w:rPr>
      <w:instrText>lasFirmas</w:instrText>
    </w:r>
    <w:r w:rsidR="00695476">
      <w:rPr>
        <w:color w:val="000000"/>
      </w:rPr>
      <w:fldChar w:fldCharType="separate"/>
    </w:r>
    <w:r w:rsidR="000E3DB2">
      <w:rPr>
        <w:color w:val="000000"/>
      </w:rPr>
      <w:instrText xml:space="preserve"> </w:instrText>
    </w:r>
    <w:r w:rsidR="00695476">
      <w:rPr>
        <w:color w:val="000000"/>
      </w:rPr>
      <w:fldChar w:fldCharType="end"/>
    </w:r>
    <w:r w:rsidR="001A4826">
      <w:rPr>
        <w:color w:val="000000"/>
      </w:rPr>
      <w:instrText xml:space="preserve"> "" </w:instrText>
    </w:r>
    <w:r w:rsidRPr="00F1390F">
      <w:rPr>
        <w:color w:val="000000"/>
      </w:rPr>
      <w:fldChar w:fldCharType="end"/>
    </w:r>
    <w:r w:rsidRPr="00F1390F">
      <w:rPr>
        <w:color w:val="000000"/>
      </w:rPr>
      <w:tab/>
    </w:r>
    <w:r w:rsidRPr="00F1390F">
      <w:rPr>
        <w:noProof/>
        <w:color w:val="000000"/>
        <w:lang w:eastAsia="es-AR"/>
      </w:rPr>
      <mc:AlternateContent>
        <mc:Choice Requires="wps">
          <w:drawing>
            <wp:anchor distT="0" distB="0" distL="114300" distR="114300" simplePos="0" relativeHeight="251659264" behindDoc="0" locked="0" layoutInCell="1" allowOverlap="1" wp14:anchorId="1CEBEEDD" wp14:editId="223745D1">
              <wp:simplePos x="0" y="0"/>
              <wp:positionH relativeFrom="page">
                <wp:posOffset>2904490</wp:posOffset>
              </wp:positionH>
              <wp:positionV relativeFrom="page">
                <wp:posOffset>288290</wp:posOffset>
              </wp:positionV>
              <wp:extent cx="2973705" cy="1371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705"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90F" w:rsidRDefault="00F1390F" w:rsidP="00200F1B">
                          <w:pPr>
                            <w:spacing w:after="60"/>
                            <w:jc w:val="center"/>
                          </w:pPr>
                          <w:r w:rsidRPr="00C305ED">
                            <w:rPr>
                              <w:noProof/>
                              <w:lang w:eastAsia="es-AR"/>
                            </w:rPr>
                            <w:drawing>
                              <wp:inline distT="0" distB="0" distL="0" distR="0" wp14:anchorId="00E75776" wp14:editId="4612E9DD">
                                <wp:extent cx="453390" cy="643890"/>
                                <wp:effectExtent l="0" t="0" r="3810" b="3810"/>
                                <wp:docPr id="14" name="Imagen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r="15555"/>
                                        <a:stretch>
                                          <a:fillRect/>
                                        </a:stretch>
                                      </pic:blipFill>
                                      <pic:spPr bwMode="auto">
                                        <a:xfrm>
                                          <a:off x="0" y="0"/>
                                          <a:ext cx="453390" cy="643890"/>
                                        </a:xfrm>
                                        <a:prstGeom prst="rect">
                                          <a:avLst/>
                                        </a:prstGeom>
                                        <a:noFill/>
                                        <a:ln>
                                          <a:noFill/>
                                        </a:ln>
                                      </pic:spPr>
                                    </pic:pic>
                                  </a:graphicData>
                                </a:graphic>
                              </wp:inline>
                            </w:drawing>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Suprema Corte de Justicia</w:t>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Provincia de Buenos Aires</w:t>
                          </w:r>
                        </w:p>
                        <w:p w:rsidR="00F1390F" w:rsidRPr="00C305ED" w:rsidRDefault="00F1390F" w:rsidP="00200F1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1CEBEEDD" id="_x0000_t202" coordsize="21600,21600" o:spt="202" path="m,l,21600r21600,l21600,xe">
              <v:stroke joinstyle="miter"/>
              <v:path gradientshapeok="t" o:connecttype="rect"/>
            </v:shapetype>
            <v:shape id="Cuadro de texto 4" o:spid="_x0000_s1026" type="#_x0000_t202" style="position:absolute;left:0;text-align:left;margin-left:228.7pt;margin-top:22.7pt;width:234.15pt;height:1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m5eiQIAABcFAAAOAAAAZHJzL2Uyb0RvYy54bWysVNuO0zAQfUfiHyy/d3PZ9JJo09VulyKk&#10;5SItfIAbO42F4wm222RB/Dtjp+2WBSSEyINje8bHM3PO+Op6aBXZC2Ml6JImFzElQlfApd6W9NPH&#10;9WRBiXVMc6ZAi5I+Ckuvly9fXPVdIVJoQHFhCIJoW/RdSRvnuiKKbNWIltkL6IRGYw2mZQ6XZhtx&#10;w3pEb1WUxvEs6sHwzkAlrMXdu9FIlwG/rkXl3te1FY6okmJsLowmjBs/RssrVmwN6xpZHcJg/xBF&#10;y6TGS09Qd8wxsjPyF6hWVgYs1O6igjaCupaVCDlgNkn8LJuHhnUi5ILFsd2pTPb/wVbv9h8Mkbyk&#10;GSWatUjRase4AcIFcWJwQDJfpL6zBfo+dOjthlsYkOyQsO3uofpsiYZVw/RW3BgDfSMYxyATfzI6&#10;OzriWA+y6d8Cx9vYzkEAGmrT+gpiTQiiI1mPJ4IwDlLhZprPL+fxlJIKbcnlPJnFgcKIFcfjnbHu&#10;tYCW+ElJDSogwLP9vXU+HFYcXfxtFpTka6lUWJjtZqUM2TNUyzp8IYNnbkp7Zw3+2Ig47mCUeIe3&#10;+XgD+9/yJM3i2zSfrGeL+SRbZ9NJPo8XkzjJb/NZnOXZ3fq7DzDJikZyLvS91OKoxCT7O6YPPTFq&#10;KGiR9CXNp+l05OiPScbh+12SrXTYmEq2JV2cnFjhmX2lOabNCsekGufRz+GHKmMNjv9QlaADT/0o&#10;AjdsBkTx4tgAf0RFGEC+kHZ8TXDSgPlKSY+dWVL7ZceMoES90aiqPMky38phkU3nKS7MuWVzbmG6&#10;QqiSOkrG6cqN7b/rjNw2eNOoYw03qMRaBo08RXXQL3ZfSObwUvj2Pl8Hr6f3bPkDAAD//wMAUEsD&#10;BBQABgAIAAAAIQATiisH3gAAAAoBAAAPAAAAZHJzL2Rvd25yZXYueG1sTI/bTsMwDIbvkXiHyEjc&#10;IJau6oGVphMggbjd4QHcxmsrmqRqsrV7e7wruLItf/r9udwuZhAXmnzvrIL1KgJBtnG6t62C4+Hz&#10;+QWED2g1Ds6Sgit52Fb3dyUW2s12R5d9aAWHWF+ggi6EsZDSNx0Z9Cs3kuXdyU0GA49TK/WEM4eb&#10;QcZRlEmDveULHY700VHzsz8bBafv+SndzPVXOOa7JHvHPq/dVanHh+XtFUSgJfzBcNNndajYqXZn&#10;q70YFCRpnjB6a7gysInTHEStIM7WCciqlP9fqH4BAAD//wMAUEsBAi0AFAAGAAgAAAAhALaDOJL+&#10;AAAA4QEAABMAAAAAAAAAAAAAAAAAAAAAAFtDb250ZW50X1R5cGVzXS54bWxQSwECLQAUAAYACAAA&#10;ACEAOP0h/9YAAACUAQAACwAAAAAAAAAAAAAAAAAvAQAAX3JlbHMvLnJlbHNQSwECLQAUAAYACAAA&#10;ACEABe5uXokCAAAXBQAADgAAAAAAAAAAAAAAAAAuAgAAZHJzL2Uyb0RvYy54bWxQSwECLQAUAAYA&#10;CAAAACEAE4orB94AAAAKAQAADwAAAAAAAAAAAAAAAADjBAAAZHJzL2Rvd25yZXYueG1sUEsFBgAA&#10;AAAEAAQA8wAAAO4FAAAAAA==&#10;" stroked="f">
              <v:textbox>
                <w:txbxContent>
                  <w:p w:rsidR="00F1390F" w:rsidRDefault="00F1390F" w:rsidP="00200F1B">
                    <w:pPr>
                      <w:spacing w:after="60"/>
                      <w:jc w:val="center"/>
                    </w:pPr>
                    <w:r w:rsidRPr="00C305ED">
                      <w:rPr>
                        <w:noProof/>
                        <w:lang w:eastAsia="es-AR"/>
                      </w:rPr>
                      <w:drawing>
                        <wp:inline distT="0" distB="0" distL="0" distR="0" wp14:anchorId="00E75776" wp14:editId="4612E9DD">
                          <wp:extent cx="453390" cy="643890"/>
                          <wp:effectExtent l="0" t="0" r="3810" b="3810"/>
                          <wp:docPr id="14" name="Imagen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
                                    <a:extLst>
                                      <a:ext uri="{28A0092B-C50C-407E-A947-70E740481C1C}">
                                        <a14:useLocalDpi xmlns:a14="http://schemas.microsoft.com/office/drawing/2010/main" val="0"/>
                                      </a:ext>
                                    </a:extLst>
                                  </a:blip>
                                  <a:srcRect r="15555"/>
                                  <a:stretch>
                                    <a:fillRect/>
                                  </a:stretch>
                                </pic:blipFill>
                                <pic:spPr bwMode="auto">
                                  <a:xfrm>
                                    <a:off x="0" y="0"/>
                                    <a:ext cx="453390" cy="643890"/>
                                  </a:xfrm>
                                  <a:prstGeom prst="rect">
                                    <a:avLst/>
                                  </a:prstGeom>
                                  <a:noFill/>
                                  <a:ln>
                                    <a:noFill/>
                                  </a:ln>
                                </pic:spPr>
                              </pic:pic>
                            </a:graphicData>
                          </a:graphic>
                        </wp:inline>
                      </w:drawing>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Suprema Corte de Justicia</w:t>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Provincia de Buenos Aires</w:t>
                    </w:r>
                  </w:p>
                  <w:p w:rsidR="00F1390F" w:rsidRPr="00C305ED" w:rsidRDefault="00F1390F" w:rsidP="00200F1B">
                    <w:pPr>
                      <w:jc w:val="center"/>
                    </w:pPr>
                  </w:p>
                </w:txbxContent>
              </v:textbox>
              <w10:wrap anchorx="page" anchory="page"/>
            </v:shape>
          </w:pict>
        </mc:Fallback>
      </mc:AlternateContent>
    </w:r>
    <w:r w:rsidR="00702BB2">
      <w:rPr>
        <w:color w:val="000000"/>
      </w:rPr>
      <w:fldChar w:fldCharType="begin"/>
    </w:r>
    <w:r w:rsidR="00702BB2">
      <w:rPr>
        <w:color w:val="000000"/>
      </w:rPr>
      <w:instrText xml:space="preserve"> DOCVARIABLE rotulo </w:instrText>
    </w:r>
    <w:r w:rsidR="00702BB2">
      <w:rPr>
        <w:color w:val="000000"/>
      </w:rPr>
      <w:fldChar w:fldCharType="separate"/>
    </w:r>
    <w:r w:rsidR="000E3DB2">
      <w:rPr>
        <w:color w:val="000000"/>
      </w:rPr>
      <w:t>P. 125.687</w:t>
    </w:r>
    <w:r w:rsidR="00702BB2">
      <w:rPr>
        <w:color w:val="000000"/>
      </w:rPr>
      <w:fldChar w:fldCharType="end"/>
    </w:r>
    <w:r w:rsidRPr="00F1390F">
      <w:rPr>
        <w:color w:val="000000"/>
      </w:rPr>
      <w:tab/>
    </w:r>
    <w:r w:rsidRPr="00F1390F">
      <w:rPr>
        <w:color w:val="000000"/>
      </w:rPr>
      <w:fldChar w:fldCharType="begin"/>
    </w:r>
    <w:r w:rsidR="001A4826">
      <w:rPr>
        <w:color w:val="000000"/>
      </w:rPr>
      <w:instrText xml:space="preserve"> PAGE </w:instrText>
    </w:r>
    <w:r w:rsidRPr="00F1390F">
      <w:rPr>
        <w:color w:val="000000"/>
      </w:rPr>
      <w:fldChar w:fldCharType="separate"/>
    </w:r>
    <w:r w:rsidR="000977EE">
      <w:rPr>
        <w:noProof/>
        <w:color w:val="000000"/>
      </w:rPr>
      <w:t>21</w:t>
    </w:r>
    <w:r w:rsidRPr="00F1390F">
      <w:rPr>
        <w:color w:val="00000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90F" w:rsidRPr="00F1390F" w:rsidRDefault="00F1390F" w:rsidP="00F1390F">
    <w:pPr>
      <w:pStyle w:val="Encabezado"/>
      <w:widowControl w:val="0"/>
      <w:tabs>
        <w:tab w:val="center" w:pos="4110"/>
        <w:tab w:val="right" w:pos="8220"/>
      </w:tabs>
      <w:spacing w:line="360" w:lineRule="auto"/>
      <w:jc w:val="both"/>
      <w:rPr>
        <w:color w:val="000000"/>
      </w:rPr>
    </w:pPr>
    <w:r w:rsidRPr="00F1390F">
      <w:rPr>
        <w:noProof/>
        <w:color w:val="000000"/>
        <w:lang w:eastAsia="es-AR"/>
      </w:rPr>
      <mc:AlternateContent>
        <mc:Choice Requires="wps">
          <w:drawing>
            <wp:anchor distT="0" distB="0" distL="114300" distR="114300" simplePos="0" relativeHeight="251661312" behindDoc="0" locked="0" layoutInCell="1" allowOverlap="1">
              <wp:simplePos x="0" y="0"/>
              <wp:positionH relativeFrom="page">
                <wp:posOffset>2904490</wp:posOffset>
              </wp:positionH>
              <wp:positionV relativeFrom="page">
                <wp:posOffset>288290</wp:posOffset>
              </wp:positionV>
              <wp:extent cx="2973705" cy="137160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705"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90F" w:rsidRDefault="00F1390F" w:rsidP="00200F1B">
                          <w:pPr>
                            <w:spacing w:after="60"/>
                            <w:jc w:val="center"/>
                          </w:pPr>
                          <w:r w:rsidRPr="00C305ED">
                            <w:rPr>
                              <w:noProof/>
                              <w:lang w:eastAsia="es-AR"/>
                            </w:rPr>
                            <w:drawing>
                              <wp:inline distT="0" distB="0" distL="0" distR="0" wp14:anchorId="53C10B1C" wp14:editId="2FD41AF9">
                                <wp:extent cx="453390" cy="643890"/>
                                <wp:effectExtent l="0" t="0" r="3810" b="3810"/>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r="15555"/>
                                        <a:stretch>
                                          <a:fillRect/>
                                        </a:stretch>
                                      </pic:blipFill>
                                      <pic:spPr bwMode="auto">
                                        <a:xfrm>
                                          <a:off x="0" y="0"/>
                                          <a:ext cx="453390" cy="643890"/>
                                        </a:xfrm>
                                        <a:prstGeom prst="rect">
                                          <a:avLst/>
                                        </a:prstGeom>
                                        <a:noFill/>
                                        <a:ln>
                                          <a:noFill/>
                                        </a:ln>
                                      </pic:spPr>
                                    </pic:pic>
                                  </a:graphicData>
                                </a:graphic>
                              </wp:inline>
                            </w:drawing>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Suprema Corte de Justicia</w:t>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Provincia de Buenos Aires</w:t>
                          </w:r>
                        </w:p>
                        <w:p w:rsidR="00F1390F" w:rsidRPr="00C305ED" w:rsidRDefault="00F1390F" w:rsidP="00200F1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id="_x0000_t202" coordsize="21600,21600" o:spt="202" path="m,l,21600r21600,l21600,xe">
              <v:stroke joinstyle="miter"/>
              <v:path gradientshapeok="t" o:connecttype="rect"/>
            </v:shapetype>
            <v:shape id="Cuadro de texto 6" o:spid="_x0000_s1027" type="#_x0000_t202" style="position:absolute;left:0;text-align:left;margin-left:228.7pt;margin-top:22.7pt;width:234.15pt;height:10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MOjAIAAB4FAAAOAAAAZHJzL2Uyb0RvYy54bWysVNuO0zAQfUfiHyy/d3PZ9JJo09VulyKk&#10;5SItfIBrO41F4gm222RB/Dtjp+2WBSSEyINje8bHM3PO+Op6aBuyl8Yq0CVNLmJKpOYglN6W9NPH&#10;9WRBiXVMC9aAliV9lJZeL1++uOq7QqZQQyOkIQiibdF3Ja2d64oosryWLbMX0EmNxgpMyxwuzTYS&#10;hvWI3jZRGsezqAcjOgNcWou7d6ORLgN+VUnu3leVlY40JcXYXBhNGDd+jJZXrNga1tWKH8Jg/xBF&#10;y5TGS09Qd8wxsjPqF6hWcQMWKnfBoY2gqhSXIQfMJomfZfNQs06GXLA4tjuVyf4/WP5u/8EQJUo6&#10;o0SzFila7ZgwQIQkTg4OyMwXqe9sgb4PHXq74RYGJDskbLt74J8t0bCqmd7KG2OgryUTGGTiT0Zn&#10;R0cc60E2/VsQeBvbOQhAQ2VaX0GsCUF0JOvxRBDGQThupvn8ch5PKeFoSy7nySwOFEasOB7vjHWv&#10;JbTET0pqUAEBnu3vrfPhsOLo4m+z0CixVk0TFma7WTWG7BmqZR2+kMEzt0Z7Zw3+2Ig47mCUeIe3&#10;+XgD+9/yJM3i2zSfrGeL+SRbZ9NJPo8XkzjJb/NZnOXZ3fq7DzDJiloJIfW90vKoxCT7O6YPPTFq&#10;KGiR9CXNp+l05OiPScbh+12SrXLYmI1qS7o4ObHCM/tKC0ybFY6pZpxHP4cfqow1OP5DVYIOPPWj&#10;CNywGYLugki8RjYgHlEYBpA2ZB8fFZzUYL5S0mODltR+2TEjKWneaBRXnmSZ7+iwyKbzFBfm3LI5&#10;tzDNEaqkjpJxunLjK7DrjNrWeNMoZw03KMhKBak8RXWQMTZhyOnwYPguP18Hr6dnbfkDAAD//wMA&#10;UEsDBBQABgAIAAAAIQATiisH3gAAAAoBAAAPAAAAZHJzL2Rvd25yZXYueG1sTI/bTsMwDIbvkXiH&#10;yEjcIJau6oGVphMggbjd4QHcxmsrmqRqsrV7e7wruLItf/r9udwuZhAXmnzvrIL1KgJBtnG6t62C&#10;4+Hz+QWED2g1Ds6Sgit52Fb3dyUW2s12R5d9aAWHWF+ggi6EsZDSNx0Z9Cs3kuXdyU0GA49TK/WE&#10;M4ebQcZRlEmDveULHY700VHzsz8bBafv+SndzPVXOOa7JHvHPq/dVanHh+XtFUSgJfzBcNNndajY&#10;qXZnq70YFCRpnjB6a7gysInTHEStIM7WCciqlP9fqH4BAAD//wMAUEsBAi0AFAAGAAgAAAAhALaD&#10;OJL+AAAA4QEAABMAAAAAAAAAAAAAAAAAAAAAAFtDb250ZW50X1R5cGVzXS54bWxQSwECLQAUAAYA&#10;CAAAACEAOP0h/9YAAACUAQAACwAAAAAAAAAAAAAAAAAvAQAAX3JlbHMvLnJlbHNQSwECLQAUAAYA&#10;CAAAACEAP+8jDowCAAAeBQAADgAAAAAAAAAAAAAAAAAuAgAAZHJzL2Uyb0RvYy54bWxQSwECLQAU&#10;AAYACAAAACEAE4orB94AAAAKAQAADwAAAAAAAAAAAAAAAADmBAAAZHJzL2Rvd25yZXYueG1sUEsF&#10;BgAAAAAEAAQA8wAAAPEFAAAAAA==&#10;" stroked="f">
              <v:textbox>
                <w:txbxContent>
                  <w:p w:rsidR="00F1390F" w:rsidRDefault="00F1390F" w:rsidP="00200F1B">
                    <w:pPr>
                      <w:spacing w:after="60"/>
                      <w:jc w:val="center"/>
                    </w:pPr>
                    <w:r w:rsidRPr="00C305ED">
                      <w:rPr>
                        <w:noProof/>
                        <w:lang w:eastAsia="es-AR"/>
                      </w:rPr>
                      <w:drawing>
                        <wp:inline distT="0" distB="0" distL="0" distR="0" wp14:anchorId="53C10B1C" wp14:editId="2FD41AF9">
                          <wp:extent cx="453390" cy="643890"/>
                          <wp:effectExtent l="0" t="0" r="3810" b="3810"/>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
                                    <a:extLst>
                                      <a:ext uri="{28A0092B-C50C-407E-A947-70E740481C1C}">
                                        <a14:useLocalDpi xmlns:a14="http://schemas.microsoft.com/office/drawing/2010/main" val="0"/>
                                      </a:ext>
                                    </a:extLst>
                                  </a:blip>
                                  <a:srcRect r="15555"/>
                                  <a:stretch>
                                    <a:fillRect/>
                                  </a:stretch>
                                </pic:blipFill>
                                <pic:spPr bwMode="auto">
                                  <a:xfrm>
                                    <a:off x="0" y="0"/>
                                    <a:ext cx="453390" cy="643890"/>
                                  </a:xfrm>
                                  <a:prstGeom prst="rect">
                                    <a:avLst/>
                                  </a:prstGeom>
                                  <a:noFill/>
                                  <a:ln>
                                    <a:noFill/>
                                  </a:ln>
                                </pic:spPr>
                              </pic:pic>
                            </a:graphicData>
                          </a:graphic>
                        </wp:inline>
                      </w:drawing>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Suprema Corte de Justicia</w:t>
                    </w:r>
                  </w:p>
                  <w:p w:rsidR="00F1390F" w:rsidRPr="00167EE1" w:rsidRDefault="00F1390F" w:rsidP="00200F1B">
                    <w:pPr>
                      <w:jc w:val="center"/>
                      <w:rPr>
                        <w:rFonts w:ascii="Palace Script MT" w:hAnsi="Palace Script MT"/>
                        <w:sz w:val="58"/>
                        <w:szCs w:val="58"/>
                      </w:rPr>
                    </w:pPr>
                    <w:r w:rsidRPr="00167EE1">
                      <w:rPr>
                        <w:rFonts w:ascii="Palace Script MT" w:hAnsi="Palace Script MT"/>
                        <w:sz w:val="58"/>
                        <w:szCs w:val="58"/>
                      </w:rPr>
                      <w:t>Provincia de Buenos Aires</w:t>
                    </w:r>
                  </w:p>
                  <w:p w:rsidR="00F1390F" w:rsidRPr="00C305ED" w:rsidRDefault="00F1390F" w:rsidP="00200F1B">
                    <w:pPr>
                      <w:jc w:val="cente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F82B05C"/>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CFCEBAF6"/>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BEEE83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30CEDEA"/>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5AC23D4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3E745C2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23EA222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093CAC5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8B7690E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AA68D58"/>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24407681"/>
    <w:multiLevelType w:val="multilevel"/>
    <w:tmpl w:val="0C0A0023"/>
    <w:styleLink w:val="ArtculoSeccin"/>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2AD61C84"/>
    <w:multiLevelType w:val="multilevel"/>
    <w:tmpl w:val="0C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33747D0"/>
    <w:multiLevelType w:val="multilevel"/>
    <w:tmpl w:val="0C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9"/>
  <w:hyphenationZone w:val="4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umentoOriginal" w:val="o:\ResguardoConversion\P125687.doc"/>
    <w:docVar w:name="f1" w:val="True"/>
    <w:docVar w:name="f10" w:val="false"/>
    <w:docVar w:name="f11" w:val="false"/>
    <w:docVar w:name="f12" w:val="false"/>
    <w:docVar w:name="f13" w:val="false"/>
    <w:docVar w:name="f14" w:val="false"/>
    <w:docVar w:name="f15" w:val="false"/>
    <w:docVar w:name="f16" w:val="false"/>
    <w:docVar w:name="f17" w:val="false"/>
    <w:docVar w:name="f18" w:val="false"/>
    <w:docVar w:name="f2" w:val="false"/>
    <w:docVar w:name="f3" w:val="True"/>
    <w:docVar w:name="f4" w:val="True"/>
    <w:docVar w:name="f5" w:val="True"/>
    <w:docVar w:name="f6" w:val="false"/>
    <w:docVar w:name="f7" w:val="false"/>
    <w:docVar w:name="f8" w:val="false"/>
    <w:docVar w:name="f9" w:val="false"/>
    <w:docVar w:name="lasFirmas" w:val=" "/>
    <w:docVar w:name="m1" w:val="EDUARDO NESTOR DE LÁZZARI"/>
    <w:docVar w:name="m2" w:val="HECTOR NEGRI"/>
    <w:docVar w:name="m3" w:val="DANIEL FERNANDO SORIA"/>
    <w:docVar w:name="m4" w:val="LUIS ESTEBAN GENOUD"/>
    <w:docVar w:name="m5" w:val="HILDA KOGAN"/>
    <w:docVar w:name="m6" w:val="EDUARDO JULIO PETTIGIANI"/>
    <w:docVar w:name="m7" w:val="SERGIO GABRIEL TORRES"/>
    <w:docVar w:name="m8" w:val="vacante"/>
    <w:docVar w:name="m9" w:val="vacante"/>
    <w:docVar w:name="macrosVersion2" w:val="macrosVersion2"/>
    <w:docVar w:name="procesado" w:val="True"/>
    <w:docVar w:name="rotulo" w:val="P. 125.687"/>
    <w:docVar w:name="secretario" w:val="R. DANIEL MARTINEZ ASTORINO (Secretario)"/>
    <w:docVar w:name="Siguen" w:val=" "/>
  </w:docVars>
  <w:rsids>
    <w:rsidRoot w:val="00362914"/>
    <w:rsid w:val="000056FB"/>
    <w:rsid w:val="00005BA2"/>
    <w:rsid w:val="000303AA"/>
    <w:rsid w:val="0007374A"/>
    <w:rsid w:val="00090613"/>
    <w:rsid w:val="000977EE"/>
    <w:rsid w:val="000A69A6"/>
    <w:rsid w:val="000E3DB2"/>
    <w:rsid w:val="000E6DA4"/>
    <w:rsid w:val="0013597F"/>
    <w:rsid w:val="001421AC"/>
    <w:rsid w:val="0016169A"/>
    <w:rsid w:val="00186D42"/>
    <w:rsid w:val="001907E1"/>
    <w:rsid w:val="00197F68"/>
    <w:rsid w:val="001A0E96"/>
    <w:rsid w:val="001A4826"/>
    <w:rsid w:val="001E29CD"/>
    <w:rsid w:val="00202C4E"/>
    <w:rsid w:val="0020758F"/>
    <w:rsid w:val="00220069"/>
    <w:rsid w:val="002515FD"/>
    <w:rsid w:val="00277656"/>
    <w:rsid w:val="002A3B80"/>
    <w:rsid w:val="002D1B5D"/>
    <w:rsid w:val="002D338D"/>
    <w:rsid w:val="002F308A"/>
    <w:rsid w:val="00360A78"/>
    <w:rsid w:val="00362914"/>
    <w:rsid w:val="003A25FD"/>
    <w:rsid w:val="003A657E"/>
    <w:rsid w:val="003B5370"/>
    <w:rsid w:val="003D6739"/>
    <w:rsid w:val="003F1079"/>
    <w:rsid w:val="004416B4"/>
    <w:rsid w:val="0049130B"/>
    <w:rsid w:val="004D4DA7"/>
    <w:rsid w:val="00546D4F"/>
    <w:rsid w:val="00550931"/>
    <w:rsid w:val="0056463C"/>
    <w:rsid w:val="005A1545"/>
    <w:rsid w:val="005D3828"/>
    <w:rsid w:val="00695476"/>
    <w:rsid w:val="006B157A"/>
    <w:rsid w:val="006C1CC9"/>
    <w:rsid w:val="006D12A3"/>
    <w:rsid w:val="00702BB2"/>
    <w:rsid w:val="00706FFF"/>
    <w:rsid w:val="007070DE"/>
    <w:rsid w:val="0073378D"/>
    <w:rsid w:val="007763E0"/>
    <w:rsid w:val="007D6382"/>
    <w:rsid w:val="007E20B9"/>
    <w:rsid w:val="00801240"/>
    <w:rsid w:val="00841B91"/>
    <w:rsid w:val="008C070B"/>
    <w:rsid w:val="008E7CFC"/>
    <w:rsid w:val="00953C7A"/>
    <w:rsid w:val="00954A4D"/>
    <w:rsid w:val="00967688"/>
    <w:rsid w:val="009737CE"/>
    <w:rsid w:val="009A0E36"/>
    <w:rsid w:val="009E4BFD"/>
    <w:rsid w:val="00A14A9A"/>
    <w:rsid w:val="00A439C8"/>
    <w:rsid w:val="00AB7113"/>
    <w:rsid w:val="00AD1B0E"/>
    <w:rsid w:val="00B12544"/>
    <w:rsid w:val="00B32B86"/>
    <w:rsid w:val="00B85C4F"/>
    <w:rsid w:val="00BD4088"/>
    <w:rsid w:val="00BE3CA5"/>
    <w:rsid w:val="00C54651"/>
    <w:rsid w:val="00C6323E"/>
    <w:rsid w:val="00CE7D5D"/>
    <w:rsid w:val="00D65415"/>
    <w:rsid w:val="00DD117F"/>
    <w:rsid w:val="00DE1263"/>
    <w:rsid w:val="00DE4DFC"/>
    <w:rsid w:val="00E267DD"/>
    <w:rsid w:val="00E3152E"/>
    <w:rsid w:val="00F1390F"/>
    <w:rsid w:val="00F13DDC"/>
    <w:rsid w:val="00F61C1D"/>
    <w:rsid w:val="00F70490"/>
    <w:rsid w:val="00FA0BAD"/>
    <w:rsid w:val="00FA1266"/>
    <w:rsid w:val="00FE78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201242-7F24-4FCF-A173-851C0CD5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5FD"/>
    <w:pPr>
      <w:spacing w:after="0" w:line="240" w:lineRule="auto"/>
    </w:pPr>
    <w:rPr>
      <w:rFonts w:ascii="Courier New" w:eastAsia="Times New Roman" w:hAnsi="Courier New" w:cs="Courier New"/>
      <w:sz w:val="24"/>
      <w:szCs w:val="20"/>
      <w:lang w:val="es-AR" w:eastAsia="es-ES"/>
    </w:rPr>
  </w:style>
  <w:style w:type="paragraph" w:styleId="Ttulo1">
    <w:name w:val="heading 1"/>
    <w:basedOn w:val="Normal"/>
    <w:next w:val="Normal"/>
    <w:link w:val="Ttulo1Car"/>
    <w:uiPriority w:val="9"/>
    <w:qFormat/>
    <w:rsid w:val="00FA126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FA126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A1266"/>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4">
    <w:name w:val="heading 4"/>
    <w:basedOn w:val="Normal"/>
    <w:next w:val="Normal"/>
    <w:link w:val="Ttulo4Car"/>
    <w:uiPriority w:val="9"/>
    <w:semiHidden/>
    <w:unhideWhenUsed/>
    <w:qFormat/>
    <w:rsid w:val="00FA126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FA126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FA1266"/>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FA1266"/>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FA126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A126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next w:val="Normal"/>
    <w:link w:val="EncabezadoCar"/>
    <w:rsid w:val="003B5370"/>
    <w:pPr>
      <w:spacing w:after="0" w:line="240" w:lineRule="auto"/>
    </w:pPr>
    <w:rPr>
      <w:rFonts w:ascii="Courier New" w:hAnsi="Courier New" w:cs="Courier New"/>
      <w:sz w:val="24"/>
      <w:lang w:val="es-AR"/>
    </w:rPr>
  </w:style>
  <w:style w:type="character" w:customStyle="1" w:styleId="EncabezadoCar">
    <w:name w:val="Encabezado Car"/>
    <w:basedOn w:val="Fuentedeprrafopredeter"/>
    <w:link w:val="Encabezado"/>
    <w:rsid w:val="003B5370"/>
    <w:rPr>
      <w:rFonts w:ascii="Courier New" w:hAnsi="Courier New" w:cs="Courier New"/>
      <w:sz w:val="24"/>
      <w:lang w:val="es-AR"/>
    </w:rPr>
  </w:style>
  <w:style w:type="paragraph" w:styleId="Piedepgina">
    <w:name w:val="footer"/>
    <w:basedOn w:val="Normal"/>
    <w:link w:val="PiedepginaCar"/>
    <w:rsid w:val="003B5370"/>
    <w:pPr>
      <w:tabs>
        <w:tab w:val="center" w:pos="4252"/>
        <w:tab w:val="right" w:pos="8504"/>
      </w:tabs>
    </w:pPr>
  </w:style>
  <w:style w:type="character" w:customStyle="1" w:styleId="PiedepginaCar">
    <w:name w:val="Pie de página Car"/>
    <w:basedOn w:val="Fuentedeprrafopredeter"/>
    <w:link w:val="Piedepgina"/>
    <w:rsid w:val="003B5370"/>
    <w:rPr>
      <w:rFonts w:ascii="Times New Roman" w:eastAsia="Times New Roman" w:hAnsi="Times New Roman" w:cs="Times New Roman"/>
      <w:sz w:val="20"/>
      <w:szCs w:val="20"/>
      <w:lang w:eastAsia="es-ES"/>
    </w:rPr>
  </w:style>
  <w:style w:type="paragraph" w:customStyle="1" w:styleId="Citaaparte">
    <w:name w:val="Cita aparte"/>
    <w:basedOn w:val="Normal"/>
    <w:qFormat/>
    <w:rsid w:val="00AD1B0E"/>
    <w:pPr>
      <w:widowControl w:val="0"/>
      <w:spacing w:line="300" w:lineRule="auto"/>
      <w:ind w:left="709" w:firstLine="709"/>
    </w:pPr>
    <w:rPr>
      <w:rFonts w:eastAsia="Calibri"/>
      <w:snapToGrid w:val="0"/>
      <w:color w:val="000000"/>
      <w:szCs w:val="22"/>
      <w:lang w:eastAsia="en-US"/>
    </w:rPr>
  </w:style>
  <w:style w:type="numbering" w:styleId="111111">
    <w:name w:val="Outline List 2"/>
    <w:basedOn w:val="Sinlista"/>
    <w:uiPriority w:val="99"/>
    <w:semiHidden/>
    <w:unhideWhenUsed/>
    <w:rsid w:val="00FA1266"/>
    <w:pPr>
      <w:numPr>
        <w:numId w:val="1"/>
      </w:numPr>
    </w:pPr>
  </w:style>
  <w:style w:type="numbering" w:styleId="1ai">
    <w:name w:val="Outline List 1"/>
    <w:basedOn w:val="Sinlista"/>
    <w:uiPriority w:val="99"/>
    <w:semiHidden/>
    <w:unhideWhenUsed/>
    <w:rsid w:val="00FA1266"/>
    <w:pPr>
      <w:numPr>
        <w:numId w:val="2"/>
      </w:numPr>
    </w:pPr>
  </w:style>
  <w:style w:type="character" w:styleId="AcrnimoHTML">
    <w:name w:val="HTML Acronym"/>
    <w:basedOn w:val="Fuentedeprrafopredeter"/>
    <w:uiPriority w:val="99"/>
    <w:semiHidden/>
    <w:unhideWhenUsed/>
    <w:rsid w:val="00FA1266"/>
  </w:style>
  <w:style w:type="character" w:customStyle="1" w:styleId="Ttulo1Car">
    <w:name w:val="Título 1 Car"/>
    <w:basedOn w:val="Fuentedeprrafopredeter"/>
    <w:link w:val="Ttulo1"/>
    <w:uiPriority w:val="9"/>
    <w:rsid w:val="00FA1266"/>
    <w:rPr>
      <w:rFonts w:asciiTheme="majorHAnsi" w:eastAsiaTheme="majorEastAsia" w:hAnsiTheme="majorHAnsi" w:cstheme="majorBidi"/>
      <w:color w:val="365F91" w:themeColor="accent1" w:themeShade="BF"/>
      <w:sz w:val="32"/>
      <w:szCs w:val="32"/>
      <w:lang w:val="es-AR" w:eastAsia="es-ES"/>
    </w:rPr>
  </w:style>
  <w:style w:type="character" w:customStyle="1" w:styleId="Ttulo2Car">
    <w:name w:val="Título 2 Car"/>
    <w:basedOn w:val="Fuentedeprrafopredeter"/>
    <w:link w:val="Ttulo2"/>
    <w:uiPriority w:val="9"/>
    <w:semiHidden/>
    <w:rsid w:val="00FA1266"/>
    <w:rPr>
      <w:rFonts w:asciiTheme="majorHAnsi" w:eastAsiaTheme="majorEastAsia" w:hAnsiTheme="majorHAnsi" w:cstheme="majorBidi"/>
      <w:color w:val="365F91" w:themeColor="accent1" w:themeShade="BF"/>
      <w:sz w:val="26"/>
      <w:szCs w:val="26"/>
      <w:lang w:val="es-AR" w:eastAsia="es-ES"/>
    </w:rPr>
  </w:style>
  <w:style w:type="character" w:customStyle="1" w:styleId="Ttulo3Car">
    <w:name w:val="Título 3 Car"/>
    <w:basedOn w:val="Fuentedeprrafopredeter"/>
    <w:link w:val="Ttulo3"/>
    <w:uiPriority w:val="9"/>
    <w:semiHidden/>
    <w:rsid w:val="00FA1266"/>
    <w:rPr>
      <w:rFonts w:asciiTheme="majorHAnsi" w:eastAsiaTheme="majorEastAsia" w:hAnsiTheme="majorHAnsi" w:cstheme="majorBidi"/>
      <w:color w:val="243F60" w:themeColor="accent1" w:themeShade="7F"/>
      <w:sz w:val="24"/>
      <w:szCs w:val="24"/>
      <w:lang w:val="es-AR" w:eastAsia="es-ES"/>
    </w:rPr>
  </w:style>
  <w:style w:type="character" w:customStyle="1" w:styleId="Ttulo4Car">
    <w:name w:val="Título 4 Car"/>
    <w:basedOn w:val="Fuentedeprrafopredeter"/>
    <w:link w:val="Ttulo4"/>
    <w:uiPriority w:val="9"/>
    <w:semiHidden/>
    <w:rsid w:val="00FA1266"/>
    <w:rPr>
      <w:rFonts w:asciiTheme="majorHAnsi" w:eastAsiaTheme="majorEastAsia" w:hAnsiTheme="majorHAnsi" w:cstheme="majorBidi"/>
      <w:i/>
      <w:iCs/>
      <w:color w:val="365F91" w:themeColor="accent1" w:themeShade="BF"/>
      <w:sz w:val="24"/>
      <w:szCs w:val="20"/>
      <w:lang w:val="es-AR" w:eastAsia="es-ES"/>
    </w:rPr>
  </w:style>
  <w:style w:type="character" w:customStyle="1" w:styleId="Ttulo5Car">
    <w:name w:val="Título 5 Car"/>
    <w:basedOn w:val="Fuentedeprrafopredeter"/>
    <w:link w:val="Ttulo5"/>
    <w:uiPriority w:val="9"/>
    <w:semiHidden/>
    <w:rsid w:val="00FA1266"/>
    <w:rPr>
      <w:rFonts w:asciiTheme="majorHAnsi" w:eastAsiaTheme="majorEastAsia" w:hAnsiTheme="majorHAnsi" w:cstheme="majorBidi"/>
      <w:color w:val="365F91" w:themeColor="accent1" w:themeShade="BF"/>
      <w:sz w:val="24"/>
      <w:szCs w:val="20"/>
      <w:lang w:val="es-AR" w:eastAsia="es-ES"/>
    </w:rPr>
  </w:style>
  <w:style w:type="character" w:customStyle="1" w:styleId="Ttulo6Car">
    <w:name w:val="Título 6 Car"/>
    <w:basedOn w:val="Fuentedeprrafopredeter"/>
    <w:link w:val="Ttulo6"/>
    <w:uiPriority w:val="9"/>
    <w:semiHidden/>
    <w:rsid w:val="00FA1266"/>
    <w:rPr>
      <w:rFonts w:asciiTheme="majorHAnsi" w:eastAsiaTheme="majorEastAsia" w:hAnsiTheme="majorHAnsi" w:cstheme="majorBidi"/>
      <w:color w:val="243F60" w:themeColor="accent1" w:themeShade="7F"/>
      <w:sz w:val="24"/>
      <w:szCs w:val="20"/>
      <w:lang w:val="es-AR" w:eastAsia="es-ES"/>
    </w:rPr>
  </w:style>
  <w:style w:type="character" w:customStyle="1" w:styleId="Ttulo7Car">
    <w:name w:val="Título 7 Car"/>
    <w:basedOn w:val="Fuentedeprrafopredeter"/>
    <w:link w:val="Ttulo7"/>
    <w:uiPriority w:val="9"/>
    <w:semiHidden/>
    <w:rsid w:val="00FA1266"/>
    <w:rPr>
      <w:rFonts w:asciiTheme="majorHAnsi" w:eastAsiaTheme="majorEastAsia" w:hAnsiTheme="majorHAnsi" w:cstheme="majorBidi"/>
      <w:i/>
      <w:iCs/>
      <w:color w:val="243F60" w:themeColor="accent1" w:themeShade="7F"/>
      <w:sz w:val="24"/>
      <w:szCs w:val="20"/>
      <w:lang w:val="es-AR" w:eastAsia="es-ES"/>
    </w:rPr>
  </w:style>
  <w:style w:type="character" w:customStyle="1" w:styleId="Ttulo8Car">
    <w:name w:val="Título 8 Car"/>
    <w:basedOn w:val="Fuentedeprrafopredeter"/>
    <w:link w:val="Ttulo8"/>
    <w:uiPriority w:val="9"/>
    <w:semiHidden/>
    <w:rsid w:val="00FA1266"/>
    <w:rPr>
      <w:rFonts w:asciiTheme="majorHAnsi" w:eastAsiaTheme="majorEastAsia" w:hAnsiTheme="majorHAnsi" w:cstheme="majorBidi"/>
      <w:color w:val="272727" w:themeColor="text1" w:themeTint="D8"/>
      <w:sz w:val="21"/>
      <w:szCs w:val="21"/>
      <w:lang w:val="es-AR" w:eastAsia="es-ES"/>
    </w:rPr>
  </w:style>
  <w:style w:type="character" w:customStyle="1" w:styleId="Ttulo9Car">
    <w:name w:val="Título 9 Car"/>
    <w:basedOn w:val="Fuentedeprrafopredeter"/>
    <w:link w:val="Ttulo9"/>
    <w:uiPriority w:val="9"/>
    <w:semiHidden/>
    <w:rsid w:val="00FA1266"/>
    <w:rPr>
      <w:rFonts w:asciiTheme="majorHAnsi" w:eastAsiaTheme="majorEastAsia" w:hAnsiTheme="majorHAnsi" w:cstheme="majorBidi"/>
      <w:i/>
      <w:iCs/>
      <w:color w:val="272727" w:themeColor="text1" w:themeTint="D8"/>
      <w:sz w:val="21"/>
      <w:szCs w:val="21"/>
      <w:lang w:val="es-AR" w:eastAsia="es-ES"/>
    </w:rPr>
  </w:style>
  <w:style w:type="numbering" w:styleId="ArtculoSeccin">
    <w:name w:val="Outline List 3"/>
    <w:basedOn w:val="Sinlista"/>
    <w:uiPriority w:val="99"/>
    <w:semiHidden/>
    <w:unhideWhenUsed/>
    <w:rsid w:val="00FA1266"/>
    <w:pPr>
      <w:numPr>
        <w:numId w:val="3"/>
      </w:numPr>
    </w:pPr>
  </w:style>
  <w:style w:type="paragraph" w:styleId="Textocomentario">
    <w:name w:val="annotation text"/>
    <w:basedOn w:val="Normal"/>
    <w:link w:val="TextocomentarioCar"/>
    <w:uiPriority w:val="99"/>
    <w:semiHidden/>
    <w:unhideWhenUsed/>
    <w:rsid w:val="00FA1266"/>
    <w:rPr>
      <w:sz w:val="20"/>
    </w:rPr>
  </w:style>
  <w:style w:type="character" w:customStyle="1" w:styleId="TextocomentarioCar">
    <w:name w:val="Texto comentario Car"/>
    <w:basedOn w:val="Fuentedeprrafopredeter"/>
    <w:link w:val="Textocomentario"/>
    <w:uiPriority w:val="99"/>
    <w:semiHidden/>
    <w:rsid w:val="00FA1266"/>
    <w:rPr>
      <w:rFonts w:ascii="Courier New" w:eastAsia="Times New Roman" w:hAnsi="Courier New" w:cs="Courier New"/>
      <w:sz w:val="20"/>
      <w:szCs w:val="20"/>
      <w:lang w:val="es-AR" w:eastAsia="es-ES"/>
    </w:rPr>
  </w:style>
  <w:style w:type="paragraph" w:styleId="Asuntodelcomentario">
    <w:name w:val="annotation subject"/>
    <w:basedOn w:val="Textocomentario"/>
    <w:next w:val="Textocomentario"/>
    <w:link w:val="AsuntodelcomentarioCar"/>
    <w:uiPriority w:val="99"/>
    <w:semiHidden/>
    <w:unhideWhenUsed/>
    <w:rsid w:val="00FA1266"/>
    <w:rPr>
      <w:b/>
      <w:bCs/>
    </w:rPr>
  </w:style>
  <w:style w:type="character" w:customStyle="1" w:styleId="AsuntodelcomentarioCar">
    <w:name w:val="Asunto del comentario Car"/>
    <w:basedOn w:val="TextocomentarioCar"/>
    <w:link w:val="Asuntodelcomentario"/>
    <w:uiPriority w:val="99"/>
    <w:semiHidden/>
    <w:rsid w:val="00FA1266"/>
    <w:rPr>
      <w:rFonts w:ascii="Courier New" w:eastAsia="Times New Roman" w:hAnsi="Courier New" w:cs="Courier New"/>
      <w:b/>
      <w:bCs/>
      <w:sz w:val="20"/>
      <w:szCs w:val="20"/>
      <w:lang w:val="es-AR" w:eastAsia="es-ES"/>
    </w:rPr>
  </w:style>
  <w:style w:type="paragraph" w:styleId="Bibliografa">
    <w:name w:val="Bibliography"/>
    <w:basedOn w:val="Normal"/>
    <w:next w:val="Normal"/>
    <w:uiPriority w:val="37"/>
    <w:semiHidden/>
    <w:unhideWhenUsed/>
    <w:rsid w:val="00FA1266"/>
  </w:style>
  <w:style w:type="paragraph" w:styleId="Cierre">
    <w:name w:val="Closing"/>
    <w:basedOn w:val="Normal"/>
    <w:link w:val="CierreCar"/>
    <w:uiPriority w:val="99"/>
    <w:semiHidden/>
    <w:unhideWhenUsed/>
    <w:rsid w:val="00FA1266"/>
    <w:pPr>
      <w:ind w:left="4252"/>
    </w:pPr>
  </w:style>
  <w:style w:type="character" w:customStyle="1" w:styleId="CierreCar">
    <w:name w:val="Cierre Car"/>
    <w:basedOn w:val="Fuentedeprrafopredeter"/>
    <w:link w:val="Cierre"/>
    <w:uiPriority w:val="99"/>
    <w:semiHidden/>
    <w:rsid w:val="00FA1266"/>
    <w:rPr>
      <w:rFonts w:ascii="Courier New" w:eastAsia="Times New Roman" w:hAnsi="Courier New" w:cs="Courier New"/>
      <w:sz w:val="24"/>
      <w:szCs w:val="20"/>
      <w:lang w:val="es-AR" w:eastAsia="es-ES"/>
    </w:rPr>
  </w:style>
  <w:style w:type="paragraph" w:styleId="Cita">
    <w:name w:val="Quote"/>
    <w:basedOn w:val="Normal"/>
    <w:next w:val="Normal"/>
    <w:link w:val="CitaCar"/>
    <w:uiPriority w:val="29"/>
    <w:qFormat/>
    <w:rsid w:val="00FA1266"/>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FA1266"/>
    <w:rPr>
      <w:rFonts w:ascii="Courier New" w:eastAsia="Times New Roman" w:hAnsi="Courier New" w:cs="Courier New"/>
      <w:i/>
      <w:iCs/>
      <w:color w:val="404040" w:themeColor="text1" w:themeTint="BF"/>
      <w:sz w:val="24"/>
      <w:szCs w:val="20"/>
      <w:lang w:val="es-AR" w:eastAsia="es-ES"/>
    </w:rPr>
  </w:style>
  <w:style w:type="paragraph" w:styleId="Citadestacada">
    <w:name w:val="Intense Quote"/>
    <w:basedOn w:val="Normal"/>
    <w:next w:val="Normal"/>
    <w:link w:val="CitadestacadaCar"/>
    <w:uiPriority w:val="30"/>
    <w:qFormat/>
    <w:rsid w:val="00FA126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FA1266"/>
    <w:rPr>
      <w:rFonts w:ascii="Courier New" w:eastAsia="Times New Roman" w:hAnsi="Courier New" w:cs="Courier New"/>
      <w:i/>
      <w:iCs/>
      <w:color w:val="4F81BD" w:themeColor="accent1"/>
      <w:sz w:val="24"/>
      <w:szCs w:val="20"/>
      <w:lang w:val="es-AR" w:eastAsia="es-ES"/>
    </w:rPr>
  </w:style>
  <w:style w:type="character" w:styleId="CitaHTML">
    <w:name w:val="HTML Cite"/>
    <w:basedOn w:val="Fuentedeprrafopredeter"/>
    <w:uiPriority w:val="99"/>
    <w:semiHidden/>
    <w:unhideWhenUsed/>
    <w:rsid w:val="00FA1266"/>
    <w:rPr>
      <w:i/>
      <w:iCs/>
    </w:rPr>
  </w:style>
  <w:style w:type="character" w:styleId="CdigoHTML">
    <w:name w:val="HTML Code"/>
    <w:basedOn w:val="Fuentedeprrafopredeter"/>
    <w:uiPriority w:val="99"/>
    <w:semiHidden/>
    <w:unhideWhenUsed/>
    <w:rsid w:val="00FA1266"/>
    <w:rPr>
      <w:rFonts w:ascii="Consolas" w:hAnsi="Consolas"/>
      <w:sz w:val="20"/>
      <w:szCs w:val="20"/>
    </w:rPr>
  </w:style>
  <w:style w:type="paragraph" w:styleId="Continuarlista">
    <w:name w:val="List Continue"/>
    <w:basedOn w:val="Normal"/>
    <w:uiPriority w:val="99"/>
    <w:semiHidden/>
    <w:unhideWhenUsed/>
    <w:rsid w:val="00FA1266"/>
    <w:pPr>
      <w:spacing w:after="120"/>
      <w:ind w:left="283"/>
      <w:contextualSpacing/>
    </w:pPr>
  </w:style>
  <w:style w:type="paragraph" w:styleId="Continuarlista2">
    <w:name w:val="List Continue 2"/>
    <w:basedOn w:val="Normal"/>
    <w:uiPriority w:val="99"/>
    <w:semiHidden/>
    <w:unhideWhenUsed/>
    <w:rsid w:val="00FA1266"/>
    <w:pPr>
      <w:spacing w:after="120"/>
      <w:ind w:left="566"/>
      <w:contextualSpacing/>
    </w:pPr>
  </w:style>
  <w:style w:type="paragraph" w:styleId="Continuarlista3">
    <w:name w:val="List Continue 3"/>
    <w:basedOn w:val="Normal"/>
    <w:uiPriority w:val="99"/>
    <w:semiHidden/>
    <w:unhideWhenUsed/>
    <w:rsid w:val="00FA1266"/>
    <w:pPr>
      <w:spacing w:after="120"/>
      <w:ind w:left="849"/>
      <w:contextualSpacing/>
    </w:pPr>
  </w:style>
  <w:style w:type="paragraph" w:styleId="Continuarlista4">
    <w:name w:val="List Continue 4"/>
    <w:basedOn w:val="Normal"/>
    <w:uiPriority w:val="99"/>
    <w:semiHidden/>
    <w:unhideWhenUsed/>
    <w:rsid w:val="00FA1266"/>
    <w:pPr>
      <w:spacing w:after="120"/>
      <w:ind w:left="1132"/>
      <w:contextualSpacing/>
    </w:pPr>
  </w:style>
  <w:style w:type="paragraph" w:styleId="Continuarlista5">
    <w:name w:val="List Continue 5"/>
    <w:basedOn w:val="Normal"/>
    <w:uiPriority w:val="99"/>
    <w:semiHidden/>
    <w:unhideWhenUsed/>
    <w:rsid w:val="00FA1266"/>
    <w:pPr>
      <w:spacing w:after="120"/>
      <w:ind w:left="1415"/>
      <w:contextualSpacing/>
    </w:pPr>
  </w:style>
  <w:style w:type="table" w:styleId="Cuadrculaclara">
    <w:name w:val="Light Grid"/>
    <w:basedOn w:val="Tablanormal"/>
    <w:uiPriority w:val="62"/>
    <w:semiHidden/>
    <w:unhideWhenUsed/>
    <w:rsid w:val="00FA126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semiHidden/>
    <w:unhideWhenUsed/>
    <w:rsid w:val="00FA126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semiHidden/>
    <w:unhideWhenUsed/>
    <w:rsid w:val="00FA126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semiHidden/>
    <w:unhideWhenUsed/>
    <w:rsid w:val="00FA126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semiHidden/>
    <w:unhideWhenUsed/>
    <w:rsid w:val="00FA126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semiHidden/>
    <w:unhideWhenUsed/>
    <w:rsid w:val="00FA126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semiHidden/>
    <w:unhideWhenUsed/>
    <w:rsid w:val="00FA126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Cuadrculadetablaclara">
    <w:name w:val="Grid Table Light"/>
    <w:basedOn w:val="Tablanormal"/>
    <w:uiPriority w:val="40"/>
    <w:rsid w:val="00FA126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media1">
    <w:name w:val="Medium Grid 1"/>
    <w:basedOn w:val="Tablanormal"/>
    <w:uiPriority w:val="67"/>
    <w:semiHidden/>
    <w:unhideWhenUsed/>
    <w:rsid w:val="00FA126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semiHidden/>
    <w:unhideWhenUsed/>
    <w:rsid w:val="00FA126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semiHidden/>
    <w:unhideWhenUsed/>
    <w:rsid w:val="00FA1266"/>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semiHidden/>
    <w:unhideWhenUsed/>
    <w:rsid w:val="00FA126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semiHidden/>
    <w:unhideWhenUsed/>
    <w:rsid w:val="00FA126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semiHidden/>
    <w:unhideWhenUsed/>
    <w:rsid w:val="00FA126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semiHidden/>
    <w:unhideWhenUsed/>
    <w:rsid w:val="00FA126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semiHidden/>
    <w:unhideWhenUsed/>
    <w:rsid w:val="00FA126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vistosa">
    <w:name w:val="Colorful Grid"/>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semiHidden/>
    <w:unhideWhenUsed/>
    <w:rsid w:val="00FA126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DefinicinHTML">
    <w:name w:val="HTML Definition"/>
    <w:basedOn w:val="Fuentedeprrafopredeter"/>
    <w:uiPriority w:val="99"/>
    <w:semiHidden/>
    <w:unhideWhenUsed/>
    <w:rsid w:val="00FA1266"/>
    <w:rPr>
      <w:i/>
      <w:iCs/>
    </w:rPr>
  </w:style>
  <w:style w:type="paragraph" w:styleId="Descripcin">
    <w:name w:val="caption"/>
    <w:basedOn w:val="Normal"/>
    <w:next w:val="Normal"/>
    <w:uiPriority w:val="35"/>
    <w:semiHidden/>
    <w:unhideWhenUsed/>
    <w:qFormat/>
    <w:rsid w:val="00FA1266"/>
    <w:pPr>
      <w:spacing w:after="200"/>
    </w:pPr>
    <w:rPr>
      <w:i/>
      <w:iCs/>
      <w:color w:val="1F497D" w:themeColor="text2"/>
      <w:sz w:val="18"/>
      <w:szCs w:val="18"/>
    </w:rPr>
  </w:style>
  <w:style w:type="paragraph" w:styleId="DireccinHTML">
    <w:name w:val="HTML Address"/>
    <w:basedOn w:val="Normal"/>
    <w:link w:val="DireccinHTMLCar"/>
    <w:uiPriority w:val="99"/>
    <w:semiHidden/>
    <w:unhideWhenUsed/>
    <w:rsid w:val="00FA1266"/>
    <w:rPr>
      <w:i/>
      <w:iCs/>
    </w:rPr>
  </w:style>
  <w:style w:type="character" w:customStyle="1" w:styleId="DireccinHTMLCar">
    <w:name w:val="Dirección HTML Car"/>
    <w:basedOn w:val="Fuentedeprrafopredeter"/>
    <w:link w:val="DireccinHTML"/>
    <w:uiPriority w:val="99"/>
    <w:semiHidden/>
    <w:rsid w:val="00FA1266"/>
    <w:rPr>
      <w:rFonts w:ascii="Courier New" w:eastAsia="Times New Roman" w:hAnsi="Courier New" w:cs="Courier New"/>
      <w:i/>
      <w:iCs/>
      <w:sz w:val="24"/>
      <w:szCs w:val="20"/>
      <w:lang w:val="es-AR" w:eastAsia="es-ES"/>
    </w:rPr>
  </w:style>
  <w:style w:type="paragraph" w:styleId="Direccinsobre">
    <w:name w:val="envelope address"/>
    <w:basedOn w:val="Normal"/>
    <w:uiPriority w:val="99"/>
    <w:semiHidden/>
    <w:unhideWhenUsed/>
    <w:rsid w:val="00FA1266"/>
    <w:pPr>
      <w:framePr w:w="7920" w:h="1980" w:hRule="exact" w:hSpace="141" w:wrap="auto" w:hAnchor="page" w:xAlign="center" w:yAlign="bottom"/>
      <w:ind w:left="2880"/>
    </w:pPr>
    <w:rPr>
      <w:rFonts w:asciiTheme="majorHAnsi" w:eastAsiaTheme="majorEastAsia" w:hAnsiTheme="majorHAnsi" w:cstheme="majorBidi"/>
      <w:szCs w:val="24"/>
    </w:rPr>
  </w:style>
  <w:style w:type="character" w:styleId="EjemplodeHTML">
    <w:name w:val="HTML Sample"/>
    <w:basedOn w:val="Fuentedeprrafopredeter"/>
    <w:uiPriority w:val="99"/>
    <w:semiHidden/>
    <w:unhideWhenUsed/>
    <w:rsid w:val="00FA1266"/>
    <w:rPr>
      <w:rFonts w:ascii="Consolas" w:hAnsi="Consolas"/>
      <w:sz w:val="24"/>
      <w:szCs w:val="24"/>
    </w:rPr>
  </w:style>
  <w:style w:type="paragraph" w:styleId="Encabezadodelista">
    <w:name w:val="toa heading"/>
    <w:basedOn w:val="Normal"/>
    <w:next w:val="Normal"/>
    <w:uiPriority w:val="99"/>
    <w:semiHidden/>
    <w:unhideWhenUsed/>
    <w:rsid w:val="00FA1266"/>
    <w:pPr>
      <w:spacing w:before="120"/>
    </w:pPr>
    <w:rPr>
      <w:rFonts w:asciiTheme="majorHAnsi" w:eastAsiaTheme="majorEastAsia" w:hAnsiTheme="majorHAnsi" w:cstheme="majorBidi"/>
      <w:b/>
      <w:bCs/>
      <w:szCs w:val="24"/>
    </w:rPr>
  </w:style>
  <w:style w:type="paragraph" w:styleId="Encabezadodemensaje">
    <w:name w:val="Message Header"/>
    <w:basedOn w:val="Normal"/>
    <w:link w:val="EncabezadodemensajeCar"/>
    <w:uiPriority w:val="99"/>
    <w:semiHidden/>
    <w:unhideWhenUsed/>
    <w:rsid w:val="00FA12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FA1266"/>
    <w:rPr>
      <w:rFonts w:asciiTheme="majorHAnsi" w:eastAsiaTheme="majorEastAsia" w:hAnsiTheme="majorHAnsi" w:cstheme="majorBidi"/>
      <w:sz w:val="24"/>
      <w:szCs w:val="24"/>
      <w:shd w:val="pct20" w:color="auto" w:fill="auto"/>
      <w:lang w:val="es-AR" w:eastAsia="es-ES"/>
    </w:rPr>
  </w:style>
  <w:style w:type="paragraph" w:styleId="Encabezadodenota">
    <w:name w:val="Note Heading"/>
    <w:basedOn w:val="Normal"/>
    <w:next w:val="Normal"/>
    <w:link w:val="EncabezadodenotaCar"/>
    <w:uiPriority w:val="99"/>
    <w:semiHidden/>
    <w:unhideWhenUsed/>
    <w:rsid w:val="00FA1266"/>
  </w:style>
  <w:style w:type="character" w:customStyle="1" w:styleId="EncabezadodenotaCar">
    <w:name w:val="Encabezado de nota Car"/>
    <w:basedOn w:val="Fuentedeprrafopredeter"/>
    <w:link w:val="Encabezadodenota"/>
    <w:uiPriority w:val="99"/>
    <w:semiHidden/>
    <w:rsid w:val="00FA1266"/>
    <w:rPr>
      <w:rFonts w:ascii="Courier New" w:eastAsia="Times New Roman" w:hAnsi="Courier New" w:cs="Courier New"/>
      <w:sz w:val="24"/>
      <w:szCs w:val="20"/>
      <w:lang w:val="es-AR" w:eastAsia="es-ES"/>
    </w:rPr>
  </w:style>
  <w:style w:type="character" w:styleId="nfasis">
    <w:name w:val="Emphasis"/>
    <w:basedOn w:val="Fuentedeprrafopredeter"/>
    <w:uiPriority w:val="20"/>
    <w:qFormat/>
    <w:rsid w:val="00FA1266"/>
    <w:rPr>
      <w:i/>
      <w:iCs/>
    </w:rPr>
  </w:style>
  <w:style w:type="character" w:styleId="nfasisintenso">
    <w:name w:val="Intense Emphasis"/>
    <w:basedOn w:val="Fuentedeprrafopredeter"/>
    <w:uiPriority w:val="21"/>
    <w:qFormat/>
    <w:rsid w:val="00FA1266"/>
    <w:rPr>
      <w:i/>
      <w:iCs/>
      <w:color w:val="4F81BD" w:themeColor="accent1"/>
    </w:rPr>
  </w:style>
  <w:style w:type="character" w:styleId="nfasissutil">
    <w:name w:val="Subtle Emphasis"/>
    <w:basedOn w:val="Fuentedeprrafopredeter"/>
    <w:uiPriority w:val="19"/>
    <w:qFormat/>
    <w:rsid w:val="00FA1266"/>
    <w:rPr>
      <w:i/>
      <w:iCs/>
      <w:color w:val="404040" w:themeColor="text1" w:themeTint="BF"/>
    </w:rPr>
  </w:style>
  <w:style w:type="paragraph" w:styleId="Fecha">
    <w:name w:val="Date"/>
    <w:basedOn w:val="Normal"/>
    <w:next w:val="Normal"/>
    <w:link w:val="FechaCar"/>
    <w:uiPriority w:val="99"/>
    <w:semiHidden/>
    <w:unhideWhenUsed/>
    <w:rsid w:val="00FA1266"/>
  </w:style>
  <w:style w:type="character" w:customStyle="1" w:styleId="FechaCar">
    <w:name w:val="Fecha Car"/>
    <w:basedOn w:val="Fuentedeprrafopredeter"/>
    <w:link w:val="Fecha"/>
    <w:uiPriority w:val="99"/>
    <w:semiHidden/>
    <w:rsid w:val="00FA1266"/>
    <w:rPr>
      <w:rFonts w:ascii="Courier New" w:eastAsia="Times New Roman" w:hAnsi="Courier New" w:cs="Courier New"/>
      <w:sz w:val="24"/>
      <w:szCs w:val="20"/>
      <w:lang w:val="es-AR" w:eastAsia="es-ES"/>
    </w:rPr>
  </w:style>
  <w:style w:type="paragraph" w:styleId="Firma">
    <w:name w:val="Signature"/>
    <w:basedOn w:val="Normal"/>
    <w:link w:val="FirmaCar"/>
    <w:uiPriority w:val="99"/>
    <w:semiHidden/>
    <w:unhideWhenUsed/>
    <w:rsid w:val="00FA1266"/>
    <w:pPr>
      <w:ind w:left="4252"/>
    </w:pPr>
  </w:style>
  <w:style w:type="character" w:customStyle="1" w:styleId="FirmaCar">
    <w:name w:val="Firma Car"/>
    <w:basedOn w:val="Fuentedeprrafopredeter"/>
    <w:link w:val="Firma"/>
    <w:uiPriority w:val="99"/>
    <w:semiHidden/>
    <w:rsid w:val="00FA1266"/>
    <w:rPr>
      <w:rFonts w:ascii="Courier New" w:eastAsia="Times New Roman" w:hAnsi="Courier New" w:cs="Courier New"/>
      <w:sz w:val="24"/>
      <w:szCs w:val="20"/>
      <w:lang w:val="es-AR" w:eastAsia="es-ES"/>
    </w:rPr>
  </w:style>
  <w:style w:type="paragraph" w:styleId="Firmadecorreoelectrnico">
    <w:name w:val="E-mail Signature"/>
    <w:basedOn w:val="Normal"/>
    <w:link w:val="FirmadecorreoelectrnicoCar"/>
    <w:uiPriority w:val="99"/>
    <w:semiHidden/>
    <w:unhideWhenUsed/>
    <w:rsid w:val="00FA1266"/>
  </w:style>
  <w:style w:type="character" w:customStyle="1" w:styleId="FirmadecorreoelectrnicoCar">
    <w:name w:val="Firma de correo electrónico Car"/>
    <w:basedOn w:val="Fuentedeprrafopredeter"/>
    <w:link w:val="Firmadecorreoelectrnico"/>
    <w:uiPriority w:val="99"/>
    <w:semiHidden/>
    <w:rsid w:val="00FA1266"/>
    <w:rPr>
      <w:rFonts w:ascii="Courier New" w:eastAsia="Times New Roman" w:hAnsi="Courier New" w:cs="Courier New"/>
      <w:sz w:val="24"/>
      <w:szCs w:val="20"/>
      <w:lang w:val="es-AR" w:eastAsia="es-ES"/>
    </w:rPr>
  </w:style>
  <w:style w:type="character" w:styleId="Hipervnculo">
    <w:name w:val="Hyperlink"/>
    <w:basedOn w:val="Fuentedeprrafopredeter"/>
    <w:uiPriority w:val="99"/>
    <w:semiHidden/>
    <w:unhideWhenUsed/>
    <w:rsid w:val="00FA1266"/>
    <w:rPr>
      <w:color w:val="0000FF" w:themeColor="hyperlink"/>
      <w:u w:val="single"/>
    </w:rPr>
  </w:style>
  <w:style w:type="character" w:styleId="Hipervnculovisitado">
    <w:name w:val="FollowedHyperlink"/>
    <w:basedOn w:val="Fuentedeprrafopredeter"/>
    <w:uiPriority w:val="99"/>
    <w:semiHidden/>
    <w:unhideWhenUsed/>
    <w:rsid w:val="00FA1266"/>
    <w:rPr>
      <w:color w:val="800080" w:themeColor="followedHyperlink"/>
      <w:u w:val="single"/>
    </w:rPr>
  </w:style>
  <w:style w:type="paragraph" w:styleId="HTMLconformatoprevio">
    <w:name w:val="HTML Preformatted"/>
    <w:basedOn w:val="Normal"/>
    <w:link w:val="HTMLconformatoprevioCar"/>
    <w:uiPriority w:val="99"/>
    <w:semiHidden/>
    <w:unhideWhenUsed/>
    <w:rsid w:val="00FA1266"/>
    <w:rPr>
      <w:rFonts w:ascii="Consolas" w:hAnsi="Consolas"/>
      <w:sz w:val="20"/>
    </w:rPr>
  </w:style>
  <w:style w:type="character" w:customStyle="1" w:styleId="HTMLconformatoprevioCar">
    <w:name w:val="HTML con formato previo Car"/>
    <w:basedOn w:val="Fuentedeprrafopredeter"/>
    <w:link w:val="HTMLconformatoprevio"/>
    <w:uiPriority w:val="99"/>
    <w:semiHidden/>
    <w:rsid w:val="00FA1266"/>
    <w:rPr>
      <w:rFonts w:ascii="Consolas" w:eastAsia="Times New Roman" w:hAnsi="Consolas" w:cs="Courier New"/>
      <w:sz w:val="20"/>
      <w:szCs w:val="20"/>
      <w:lang w:val="es-AR" w:eastAsia="es-ES"/>
    </w:rPr>
  </w:style>
  <w:style w:type="paragraph" w:styleId="ndice1">
    <w:name w:val="index 1"/>
    <w:basedOn w:val="Normal"/>
    <w:next w:val="Normal"/>
    <w:uiPriority w:val="99"/>
    <w:semiHidden/>
    <w:unhideWhenUsed/>
    <w:rsid w:val="00FA1266"/>
    <w:pPr>
      <w:ind w:left="240" w:hanging="240"/>
    </w:pPr>
  </w:style>
  <w:style w:type="paragraph" w:styleId="ndice2">
    <w:name w:val="index 2"/>
    <w:basedOn w:val="Normal"/>
    <w:next w:val="Normal"/>
    <w:uiPriority w:val="99"/>
    <w:semiHidden/>
    <w:unhideWhenUsed/>
    <w:rsid w:val="00FA1266"/>
    <w:pPr>
      <w:ind w:left="480" w:hanging="240"/>
    </w:pPr>
  </w:style>
  <w:style w:type="paragraph" w:styleId="ndice3">
    <w:name w:val="index 3"/>
    <w:basedOn w:val="Normal"/>
    <w:next w:val="Normal"/>
    <w:uiPriority w:val="99"/>
    <w:semiHidden/>
    <w:unhideWhenUsed/>
    <w:rsid w:val="00FA1266"/>
    <w:pPr>
      <w:ind w:left="720" w:hanging="240"/>
    </w:pPr>
  </w:style>
  <w:style w:type="paragraph" w:styleId="ndice4">
    <w:name w:val="index 4"/>
    <w:basedOn w:val="Normal"/>
    <w:next w:val="Normal"/>
    <w:uiPriority w:val="99"/>
    <w:semiHidden/>
    <w:unhideWhenUsed/>
    <w:rsid w:val="00FA1266"/>
    <w:pPr>
      <w:ind w:left="960" w:hanging="240"/>
    </w:pPr>
  </w:style>
  <w:style w:type="paragraph" w:styleId="ndice5">
    <w:name w:val="index 5"/>
    <w:basedOn w:val="Normal"/>
    <w:next w:val="Normal"/>
    <w:uiPriority w:val="99"/>
    <w:semiHidden/>
    <w:unhideWhenUsed/>
    <w:rsid w:val="00FA1266"/>
    <w:pPr>
      <w:ind w:left="1200" w:hanging="240"/>
    </w:pPr>
  </w:style>
  <w:style w:type="paragraph" w:styleId="ndice6">
    <w:name w:val="index 6"/>
    <w:basedOn w:val="Normal"/>
    <w:next w:val="Normal"/>
    <w:uiPriority w:val="99"/>
    <w:semiHidden/>
    <w:unhideWhenUsed/>
    <w:rsid w:val="00FA1266"/>
    <w:pPr>
      <w:ind w:left="1440" w:hanging="240"/>
    </w:pPr>
  </w:style>
  <w:style w:type="paragraph" w:styleId="ndice7">
    <w:name w:val="index 7"/>
    <w:basedOn w:val="Normal"/>
    <w:next w:val="Normal"/>
    <w:uiPriority w:val="99"/>
    <w:semiHidden/>
    <w:unhideWhenUsed/>
    <w:rsid w:val="00FA1266"/>
    <w:pPr>
      <w:ind w:left="1680" w:hanging="240"/>
    </w:pPr>
  </w:style>
  <w:style w:type="paragraph" w:styleId="ndice8">
    <w:name w:val="index 8"/>
    <w:basedOn w:val="Normal"/>
    <w:next w:val="Normal"/>
    <w:uiPriority w:val="99"/>
    <w:semiHidden/>
    <w:unhideWhenUsed/>
    <w:rsid w:val="00FA1266"/>
    <w:pPr>
      <w:ind w:left="1920" w:hanging="240"/>
    </w:pPr>
  </w:style>
  <w:style w:type="paragraph" w:styleId="ndice9">
    <w:name w:val="index 9"/>
    <w:basedOn w:val="Normal"/>
    <w:next w:val="Normal"/>
    <w:uiPriority w:val="99"/>
    <w:semiHidden/>
    <w:unhideWhenUsed/>
    <w:rsid w:val="00FA1266"/>
    <w:pPr>
      <w:ind w:left="2160" w:hanging="240"/>
    </w:pPr>
  </w:style>
  <w:style w:type="paragraph" w:styleId="Lista">
    <w:name w:val="List"/>
    <w:basedOn w:val="Normal"/>
    <w:uiPriority w:val="99"/>
    <w:semiHidden/>
    <w:unhideWhenUsed/>
    <w:rsid w:val="00FA1266"/>
    <w:pPr>
      <w:ind w:left="283" w:hanging="283"/>
      <w:contextualSpacing/>
    </w:pPr>
  </w:style>
  <w:style w:type="paragraph" w:styleId="Lista2">
    <w:name w:val="List 2"/>
    <w:basedOn w:val="Normal"/>
    <w:uiPriority w:val="99"/>
    <w:semiHidden/>
    <w:unhideWhenUsed/>
    <w:rsid w:val="00FA1266"/>
    <w:pPr>
      <w:ind w:left="566" w:hanging="283"/>
      <w:contextualSpacing/>
    </w:pPr>
  </w:style>
  <w:style w:type="paragraph" w:styleId="Lista3">
    <w:name w:val="List 3"/>
    <w:basedOn w:val="Normal"/>
    <w:uiPriority w:val="99"/>
    <w:semiHidden/>
    <w:unhideWhenUsed/>
    <w:rsid w:val="00FA1266"/>
    <w:pPr>
      <w:ind w:left="849" w:hanging="283"/>
      <w:contextualSpacing/>
    </w:pPr>
  </w:style>
  <w:style w:type="paragraph" w:styleId="Lista4">
    <w:name w:val="List 4"/>
    <w:basedOn w:val="Normal"/>
    <w:uiPriority w:val="99"/>
    <w:semiHidden/>
    <w:unhideWhenUsed/>
    <w:rsid w:val="00FA1266"/>
    <w:pPr>
      <w:ind w:left="1132" w:hanging="283"/>
      <w:contextualSpacing/>
    </w:pPr>
  </w:style>
  <w:style w:type="paragraph" w:styleId="Lista5">
    <w:name w:val="List 5"/>
    <w:basedOn w:val="Normal"/>
    <w:uiPriority w:val="99"/>
    <w:semiHidden/>
    <w:unhideWhenUsed/>
    <w:rsid w:val="00FA1266"/>
    <w:pPr>
      <w:ind w:left="1415" w:hanging="283"/>
      <w:contextualSpacing/>
    </w:pPr>
  </w:style>
  <w:style w:type="table" w:styleId="Listaclara">
    <w:name w:val="Light List"/>
    <w:basedOn w:val="Tablanormal"/>
    <w:uiPriority w:val="61"/>
    <w:semiHidden/>
    <w:unhideWhenUsed/>
    <w:rsid w:val="00FA126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semiHidden/>
    <w:unhideWhenUsed/>
    <w:rsid w:val="00FA126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semiHidden/>
    <w:unhideWhenUsed/>
    <w:rsid w:val="00FA1266"/>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semiHidden/>
    <w:unhideWhenUsed/>
    <w:rsid w:val="00FA126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semiHidden/>
    <w:unhideWhenUsed/>
    <w:rsid w:val="00FA126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semiHidden/>
    <w:unhideWhenUsed/>
    <w:rsid w:val="00FA126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semiHidden/>
    <w:unhideWhenUsed/>
    <w:rsid w:val="00FA126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Listaconnmeros">
    <w:name w:val="List Number"/>
    <w:basedOn w:val="Normal"/>
    <w:uiPriority w:val="99"/>
    <w:semiHidden/>
    <w:unhideWhenUsed/>
    <w:rsid w:val="00FA1266"/>
    <w:pPr>
      <w:numPr>
        <w:numId w:val="4"/>
      </w:numPr>
      <w:contextualSpacing/>
    </w:pPr>
  </w:style>
  <w:style w:type="paragraph" w:styleId="Listaconnmeros2">
    <w:name w:val="List Number 2"/>
    <w:basedOn w:val="Normal"/>
    <w:uiPriority w:val="99"/>
    <w:semiHidden/>
    <w:unhideWhenUsed/>
    <w:rsid w:val="00FA1266"/>
    <w:pPr>
      <w:numPr>
        <w:numId w:val="5"/>
      </w:numPr>
      <w:contextualSpacing/>
    </w:pPr>
  </w:style>
  <w:style w:type="paragraph" w:styleId="Listaconnmeros3">
    <w:name w:val="List Number 3"/>
    <w:basedOn w:val="Normal"/>
    <w:uiPriority w:val="99"/>
    <w:semiHidden/>
    <w:unhideWhenUsed/>
    <w:rsid w:val="00FA1266"/>
    <w:pPr>
      <w:numPr>
        <w:numId w:val="6"/>
      </w:numPr>
      <w:contextualSpacing/>
    </w:pPr>
  </w:style>
  <w:style w:type="paragraph" w:styleId="Listaconnmeros4">
    <w:name w:val="List Number 4"/>
    <w:basedOn w:val="Normal"/>
    <w:uiPriority w:val="99"/>
    <w:semiHidden/>
    <w:unhideWhenUsed/>
    <w:rsid w:val="00FA1266"/>
    <w:pPr>
      <w:numPr>
        <w:numId w:val="7"/>
      </w:numPr>
      <w:contextualSpacing/>
    </w:pPr>
  </w:style>
  <w:style w:type="paragraph" w:styleId="Listaconnmeros5">
    <w:name w:val="List Number 5"/>
    <w:basedOn w:val="Normal"/>
    <w:uiPriority w:val="99"/>
    <w:semiHidden/>
    <w:unhideWhenUsed/>
    <w:rsid w:val="00FA1266"/>
    <w:pPr>
      <w:numPr>
        <w:numId w:val="8"/>
      </w:numPr>
      <w:contextualSpacing/>
    </w:pPr>
  </w:style>
  <w:style w:type="paragraph" w:styleId="Listaconvietas">
    <w:name w:val="List Bullet"/>
    <w:basedOn w:val="Normal"/>
    <w:uiPriority w:val="99"/>
    <w:semiHidden/>
    <w:unhideWhenUsed/>
    <w:rsid w:val="00FA1266"/>
    <w:pPr>
      <w:numPr>
        <w:numId w:val="9"/>
      </w:numPr>
      <w:contextualSpacing/>
    </w:pPr>
  </w:style>
  <w:style w:type="paragraph" w:styleId="Listaconvietas2">
    <w:name w:val="List Bullet 2"/>
    <w:basedOn w:val="Normal"/>
    <w:uiPriority w:val="99"/>
    <w:semiHidden/>
    <w:unhideWhenUsed/>
    <w:rsid w:val="00FA1266"/>
    <w:pPr>
      <w:numPr>
        <w:numId w:val="10"/>
      </w:numPr>
      <w:contextualSpacing/>
    </w:pPr>
  </w:style>
  <w:style w:type="paragraph" w:styleId="Listaconvietas3">
    <w:name w:val="List Bullet 3"/>
    <w:basedOn w:val="Normal"/>
    <w:uiPriority w:val="99"/>
    <w:semiHidden/>
    <w:unhideWhenUsed/>
    <w:rsid w:val="00FA1266"/>
    <w:pPr>
      <w:numPr>
        <w:numId w:val="11"/>
      </w:numPr>
      <w:contextualSpacing/>
    </w:pPr>
  </w:style>
  <w:style w:type="paragraph" w:styleId="Listaconvietas4">
    <w:name w:val="List Bullet 4"/>
    <w:basedOn w:val="Normal"/>
    <w:uiPriority w:val="99"/>
    <w:semiHidden/>
    <w:unhideWhenUsed/>
    <w:rsid w:val="00FA1266"/>
    <w:pPr>
      <w:numPr>
        <w:numId w:val="12"/>
      </w:numPr>
      <w:contextualSpacing/>
    </w:pPr>
  </w:style>
  <w:style w:type="paragraph" w:styleId="Listaconvietas5">
    <w:name w:val="List Bullet 5"/>
    <w:basedOn w:val="Normal"/>
    <w:uiPriority w:val="99"/>
    <w:semiHidden/>
    <w:unhideWhenUsed/>
    <w:rsid w:val="00FA1266"/>
    <w:pPr>
      <w:numPr>
        <w:numId w:val="13"/>
      </w:numPr>
      <w:contextualSpacing/>
    </w:pPr>
  </w:style>
  <w:style w:type="table" w:styleId="Listamedia1">
    <w:name w:val="Medium List 1"/>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semiHidden/>
    <w:unhideWhenUsed/>
    <w:rsid w:val="00FA1266"/>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semiHidden/>
    <w:unhideWhenUsed/>
    <w:rsid w:val="00FA12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aoscura">
    <w:name w:val="Dark List"/>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semiHidden/>
    <w:unhideWhenUsed/>
    <w:rsid w:val="00FA1266"/>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Listavistosa">
    <w:name w:val="Colorful List"/>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semiHidden/>
    <w:unhideWhenUsed/>
    <w:rsid w:val="00FA1266"/>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Mapadeldocumento">
    <w:name w:val="Document Map"/>
    <w:basedOn w:val="Normal"/>
    <w:link w:val="MapadeldocumentoCar"/>
    <w:uiPriority w:val="99"/>
    <w:semiHidden/>
    <w:unhideWhenUsed/>
    <w:rsid w:val="00FA1266"/>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FA1266"/>
    <w:rPr>
      <w:rFonts w:ascii="Segoe UI" w:eastAsia="Times New Roman" w:hAnsi="Segoe UI" w:cs="Segoe UI"/>
      <w:sz w:val="16"/>
      <w:szCs w:val="16"/>
      <w:lang w:val="es-AR" w:eastAsia="es-ES"/>
    </w:rPr>
  </w:style>
  <w:style w:type="character" w:styleId="MquinadeescribirHTML">
    <w:name w:val="HTML Typewriter"/>
    <w:basedOn w:val="Fuentedeprrafopredeter"/>
    <w:uiPriority w:val="99"/>
    <w:semiHidden/>
    <w:unhideWhenUsed/>
    <w:rsid w:val="00FA1266"/>
    <w:rPr>
      <w:rFonts w:ascii="Consolas" w:hAnsi="Consolas"/>
      <w:sz w:val="20"/>
      <w:szCs w:val="20"/>
    </w:rPr>
  </w:style>
  <w:style w:type="paragraph" w:styleId="NormalWeb">
    <w:name w:val="Normal (Web)"/>
    <w:basedOn w:val="Normal"/>
    <w:uiPriority w:val="99"/>
    <w:semiHidden/>
    <w:unhideWhenUsed/>
    <w:rsid w:val="00FA1266"/>
    <w:rPr>
      <w:rFonts w:ascii="Times New Roman" w:hAnsi="Times New Roman" w:cs="Times New Roman"/>
      <w:szCs w:val="24"/>
    </w:rPr>
  </w:style>
  <w:style w:type="character" w:styleId="Nmerodelnea">
    <w:name w:val="line number"/>
    <w:basedOn w:val="Fuentedeprrafopredeter"/>
    <w:uiPriority w:val="99"/>
    <w:semiHidden/>
    <w:unhideWhenUsed/>
    <w:rsid w:val="00FA1266"/>
  </w:style>
  <w:style w:type="character" w:styleId="Nmerodepgina">
    <w:name w:val="page number"/>
    <w:basedOn w:val="Fuentedeprrafopredeter"/>
    <w:uiPriority w:val="99"/>
    <w:semiHidden/>
    <w:unhideWhenUsed/>
    <w:rsid w:val="00FA1266"/>
  </w:style>
  <w:style w:type="paragraph" w:styleId="Prrafodelista">
    <w:name w:val="List Paragraph"/>
    <w:basedOn w:val="Normal"/>
    <w:uiPriority w:val="34"/>
    <w:qFormat/>
    <w:rsid w:val="00FA1266"/>
    <w:pPr>
      <w:ind w:left="720"/>
      <w:contextualSpacing/>
    </w:pPr>
  </w:style>
  <w:style w:type="paragraph" w:styleId="Puesto">
    <w:name w:val="Title"/>
    <w:basedOn w:val="Normal"/>
    <w:next w:val="Normal"/>
    <w:link w:val="PuestoCar"/>
    <w:uiPriority w:val="10"/>
    <w:qFormat/>
    <w:rsid w:val="00FA1266"/>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FA1266"/>
    <w:rPr>
      <w:rFonts w:asciiTheme="majorHAnsi" w:eastAsiaTheme="majorEastAsia" w:hAnsiTheme="majorHAnsi" w:cstheme="majorBidi"/>
      <w:spacing w:val="-10"/>
      <w:kern w:val="28"/>
      <w:sz w:val="56"/>
      <w:szCs w:val="56"/>
      <w:lang w:val="es-AR" w:eastAsia="es-ES"/>
    </w:rPr>
  </w:style>
  <w:style w:type="character" w:styleId="Refdecomentario">
    <w:name w:val="annotation reference"/>
    <w:basedOn w:val="Fuentedeprrafopredeter"/>
    <w:uiPriority w:val="99"/>
    <w:semiHidden/>
    <w:unhideWhenUsed/>
    <w:rsid w:val="00FA1266"/>
    <w:rPr>
      <w:sz w:val="16"/>
      <w:szCs w:val="16"/>
    </w:rPr>
  </w:style>
  <w:style w:type="character" w:styleId="Refdenotaalfinal">
    <w:name w:val="endnote reference"/>
    <w:basedOn w:val="Fuentedeprrafopredeter"/>
    <w:uiPriority w:val="99"/>
    <w:semiHidden/>
    <w:unhideWhenUsed/>
    <w:rsid w:val="00FA1266"/>
    <w:rPr>
      <w:vertAlign w:val="superscript"/>
    </w:rPr>
  </w:style>
  <w:style w:type="character" w:styleId="Refdenotaalpie">
    <w:name w:val="footnote reference"/>
    <w:basedOn w:val="Fuentedeprrafopredeter"/>
    <w:uiPriority w:val="99"/>
    <w:semiHidden/>
    <w:unhideWhenUsed/>
    <w:rsid w:val="00FA1266"/>
    <w:rPr>
      <w:vertAlign w:val="superscript"/>
    </w:rPr>
  </w:style>
  <w:style w:type="character" w:styleId="Referenciaintensa">
    <w:name w:val="Intense Reference"/>
    <w:basedOn w:val="Fuentedeprrafopredeter"/>
    <w:uiPriority w:val="32"/>
    <w:qFormat/>
    <w:rsid w:val="00FA1266"/>
    <w:rPr>
      <w:b/>
      <w:bCs/>
      <w:smallCaps/>
      <w:color w:val="4F81BD" w:themeColor="accent1"/>
      <w:spacing w:val="5"/>
    </w:rPr>
  </w:style>
  <w:style w:type="character" w:styleId="Referenciasutil">
    <w:name w:val="Subtle Reference"/>
    <w:basedOn w:val="Fuentedeprrafopredeter"/>
    <w:uiPriority w:val="31"/>
    <w:qFormat/>
    <w:rsid w:val="00FA1266"/>
    <w:rPr>
      <w:smallCaps/>
      <w:color w:val="5A5A5A" w:themeColor="text1" w:themeTint="A5"/>
    </w:rPr>
  </w:style>
  <w:style w:type="paragraph" w:styleId="Remitedesobre">
    <w:name w:val="envelope return"/>
    <w:basedOn w:val="Normal"/>
    <w:uiPriority w:val="99"/>
    <w:semiHidden/>
    <w:unhideWhenUsed/>
    <w:rsid w:val="00FA1266"/>
    <w:rPr>
      <w:rFonts w:asciiTheme="majorHAnsi" w:eastAsiaTheme="majorEastAsia" w:hAnsiTheme="majorHAnsi" w:cstheme="majorBidi"/>
      <w:sz w:val="20"/>
    </w:rPr>
  </w:style>
  <w:style w:type="paragraph" w:styleId="Saludo">
    <w:name w:val="Salutation"/>
    <w:basedOn w:val="Normal"/>
    <w:next w:val="Normal"/>
    <w:link w:val="SaludoCar"/>
    <w:uiPriority w:val="99"/>
    <w:semiHidden/>
    <w:unhideWhenUsed/>
    <w:rsid w:val="00FA1266"/>
  </w:style>
  <w:style w:type="character" w:customStyle="1" w:styleId="SaludoCar">
    <w:name w:val="Saludo Car"/>
    <w:basedOn w:val="Fuentedeprrafopredeter"/>
    <w:link w:val="Saludo"/>
    <w:uiPriority w:val="99"/>
    <w:semiHidden/>
    <w:rsid w:val="00FA1266"/>
    <w:rPr>
      <w:rFonts w:ascii="Courier New" w:eastAsia="Times New Roman" w:hAnsi="Courier New" w:cs="Courier New"/>
      <w:sz w:val="24"/>
      <w:szCs w:val="20"/>
      <w:lang w:val="es-AR" w:eastAsia="es-ES"/>
    </w:rPr>
  </w:style>
  <w:style w:type="paragraph" w:styleId="Sangra2detindependiente">
    <w:name w:val="Body Text Indent 2"/>
    <w:basedOn w:val="Normal"/>
    <w:link w:val="Sangra2detindependienteCar"/>
    <w:uiPriority w:val="99"/>
    <w:semiHidden/>
    <w:unhideWhenUsed/>
    <w:rsid w:val="00FA126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A1266"/>
    <w:rPr>
      <w:rFonts w:ascii="Courier New" w:eastAsia="Times New Roman" w:hAnsi="Courier New" w:cs="Courier New"/>
      <w:sz w:val="24"/>
      <w:szCs w:val="20"/>
      <w:lang w:val="es-AR" w:eastAsia="es-ES"/>
    </w:rPr>
  </w:style>
  <w:style w:type="paragraph" w:styleId="Sangra3detindependiente">
    <w:name w:val="Body Text Indent 3"/>
    <w:basedOn w:val="Normal"/>
    <w:link w:val="Sangra3detindependienteCar"/>
    <w:uiPriority w:val="99"/>
    <w:semiHidden/>
    <w:unhideWhenUsed/>
    <w:rsid w:val="00FA1266"/>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FA1266"/>
    <w:rPr>
      <w:rFonts w:ascii="Courier New" w:eastAsia="Times New Roman" w:hAnsi="Courier New" w:cs="Courier New"/>
      <w:sz w:val="16"/>
      <w:szCs w:val="16"/>
      <w:lang w:val="es-AR" w:eastAsia="es-ES"/>
    </w:rPr>
  </w:style>
  <w:style w:type="paragraph" w:styleId="Sangradetextonormal">
    <w:name w:val="Body Text Indent"/>
    <w:basedOn w:val="Normal"/>
    <w:link w:val="SangradetextonormalCar"/>
    <w:uiPriority w:val="99"/>
    <w:semiHidden/>
    <w:unhideWhenUsed/>
    <w:rsid w:val="00FA1266"/>
    <w:pPr>
      <w:spacing w:after="120"/>
      <w:ind w:left="283"/>
    </w:pPr>
  </w:style>
  <w:style w:type="character" w:customStyle="1" w:styleId="SangradetextonormalCar">
    <w:name w:val="Sangría de texto normal Car"/>
    <w:basedOn w:val="Fuentedeprrafopredeter"/>
    <w:link w:val="Sangradetextonormal"/>
    <w:uiPriority w:val="99"/>
    <w:semiHidden/>
    <w:rsid w:val="00FA1266"/>
    <w:rPr>
      <w:rFonts w:ascii="Courier New" w:eastAsia="Times New Roman" w:hAnsi="Courier New" w:cs="Courier New"/>
      <w:sz w:val="24"/>
      <w:szCs w:val="20"/>
      <w:lang w:val="es-AR" w:eastAsia="es-ES"/>
    </w:rPr>
  </w:style>
  <w:style w:type="paragraph" w:styleId="Sangranormal">
    <w:name w:val="Normal Indent"/>
    <w:basedOn w:val="Normal"/>
    <w:uiPriority w:val="99"/>
    <w:semiHidden/>
    <w:unhideWhenUsed/>
    <w:rsid w:val="00FA1266"/>
    <w:pPr>
      <w:ind w:left="708"/>
    </w:pPr>
  </w:style>
  <w:style w:type="paragraph" w:styleId="Sinespaciado">
    <w:name w:val="No Spacing"/>
    <w:uiPriority w:val="1"/>
    <w:qFormat/>
    <w:rsid w:val="00FA1266"/>
    <w:pPr>
      <w:spacing w:after="0" w:line="240" w:lineRule="auto"/>
    </w:pPr>
    <w:rPr>
      <w:rFonts w:ascii="Courier New" w:eastAsia="Times New Roman" w:hAnsi="Courier New" w:cs="Courier New"/>
      <w:sz w:val="24"/>
      <w:szCs w:val="20"/>
      <w:lang w:val="es-AR" w:eastAsia="es-ES"/>
    </w:rPr>
  </w:style>
  <w:style w:type="table" w:styleId="Sombreadoclaro">
    <w:name w:val="Light Shading"/>
    <w:basedOn w:val="Tablanormal"/>
    <w:uiPriority w:val="60"/>
    <w:semiHidden/>
    <w:unhideWhenUsed/>
    <w:rsid w:val="00FA126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A126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semiHidden/>
    <w:unhideWhenUsed/>
    <w:rsid w:val="00FA126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semiHidden/>
    <w:unhideWhenUsed/>
    <w:rsid w:val="00FA1266"/>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semiHidden/>
    <w:unhideWhenUsed/>
    <w:rsid w:val="00FA126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semiHidden/>
    <w:unhideWhenUsed/>
    <w:rsid w:val="00FA1266"/>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semiHidden/>
    <w:unhideWhenUsed/>
    <w:rsid w:val="00FA1266"/>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
    <w:name w:val="Medium Shading 1"/>
    <w:basedOn w:val="Tablanormal"/>
    <w:uiPriority w:val="63"/>
    <w:semiHidden/>
    <w:unhideWhenUsed/>
    <w:rsid w:val="00FA1266"/>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semiHidden/>
    <w:unhideWhenUsed/>
    <w:rsid w:val="00FA126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semiHidden/>
    <w:unhideWhenUsed/>
    <w:rsid w:val="00FA1266"/>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semiHidden/>
    <w:unhideWhenUsed/>
    <w:rsid w:val="00FA126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semiHidden/>
    <w:unhideWhenUsed/>
    <w:rsid w:val="00FA1266"/>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semiHidden/>
    <w:unhideWhenUsed/>
    <w:rsid w:val="00FA126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semiHidden/>
    <w:unhideWhenUsed/>
    <w:rsid w:val="00FA126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semiHidden/>
    <w:unhideWhenUsed/>
    <w:rsid w:val="00FA126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vistoso">
    <w:name w:val="Colorful Shading"/>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semiHidden/>
    <w:unhideWhenUsed/>
    <w:rsid w:val="00FA1266"/>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styleId="Subttulo">
    <w:name w:val="Subtitle"/>
    <w:basedOn w:val="Normal"/>
    <w:next w:val="Normal"/>
    <w:link w:val="SubttuloCar"/>
    <w:uiPriority w:val="11"/>
    <w:qFormat/>
    <w:rsid w:val="00FA1266"/>
    <w:pPr>
      <w:numPr>
        <w:ilvl w:val="1"/>
      </w:numPr>
      <w:spacing w:after="160"/>
      <w:ind w:firstLine="1418"/>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FA1266"/>
    <w:rPr>
      <w:rFonts w:eastAsiaTheme="minorEastAsia"/>
      <w:color w:val="5A5A5A" w:themeColor="text1" w:themeTint="A5"/>
      <w:spacing w:val="15"/>
      <w:lang w:val="es-AR" w:eastAsia="es-ES"/>
    </w:rPr>
  </w:style>
  <w:style w:type="table" w:styleId="Tablabsica1">
    <w:name w:val="Table Simple 1"/>
    <w:basedOn w:val="Tablanormal"/>
    <w:uiPriority w:val="99"/>
    <w:semiHidden/>
    <w:unhideWhenUsed/>
    <w:rsid w:val="00FA1266"/>
    <w:pPr>
      <w:spacing w:after="0" w:line="24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semiHidden/>
    <w:unhideWhenUsed/>
    <w:rsid w:val="00FA1266"/>
    <w:pPr>
      <w:spacing w:after="0" w:line="24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99"/>
    <w:semiHidden/>
    <w:unhideWhenUsed/>
    <w:rsid w:val="00FA1266"/>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iPriority w:val="99"/>
    <w:semiHidden/>
    <w:unhideWhenUsed/>
    <w:rsid w:val="00FA1266"/>
    <w:pPr>
      <w:spacing w:after="0" w:line="24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99"/>
    <w:semiHidden/>
    <w:unhideWhenUsed/>
    <w:rsid w:val="00FA1266"/>
    <w:pPr>
      <w:spacing w:after="0" w:line="24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99"/>
    <w:semiHidden/>
    <w:unhideWhenUsed/>
    <w:rsid w:val="00FA1266"/>
    <w:pPr>
      <w:spacing w:after="0" w:line="24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99"/>
    <w:semiHidden/>
    <w:unhideWhenUsed/>
    <w:rsid w:val="00FA1266"/>
    <w:pPr>
      <w:spacing w:after="0" w:line="24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uiPriority w:val="99"/>
    <w:semiHidden/>
    <w:unhideWhenUsed/>
    <w:rsid w:val="00FA1266"/>
    <w:pPr>
      <w:spacing w:after="0" w:line="24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99"/>
    <w:semiHidden/>
    <w:unhideWhenUsed/>
    <w:rsid w:val="00FA1266"/>
    <w:pPr>
      <w:spacing w:after="0" w:line="24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99"/>
    <w:semiHidden/>
    <w:unhideWhenUsed/>
    <w:rsid w:val="00FA1266"/>
    <w:pPr>
      <w:spacing w:after="0" w:line="24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99"/>
    <w:semiHidden/>
    <w:unhideWhenUsed/>
    <w:rsid w:val="00FA1266"/>
    <w:pPr>
      <w:spacing w:after="0" w:line="24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99"/>
    <w:semiHidden/>
    <w:unhideWhenUsed/>
    <w:rsid w:val="00FA1266"/>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uiPriority w:val="59"/>
    <w:rsid w:val="00FA1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uiPriority w:val="99"/>
    <w:semiHidden/>
    <w:unhideWhenUsed/>
    <w:rsid w:val="00FA1266"/>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uiPriority w:val="99"/>
    <w:semiHidden/>
    <w:unhideWhenUsed/>
    <w:rsid w:val="00FA1266"/>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uiPriority w:val="99"/>
    <w:semiHidden/>
    <w:unhideWhenUsed/>
    <w:rsid w:val="00FA1266"/>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uiPriority w:val="99"/>
    <w:semiHidden/>
    <w:unhideWhenUsed/>
    <w:rsid w:val="00FA1266"/>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99"/>
    <w:semiHidden/>
    <w:unhideWhenUsed/>
    <w:rsid w:val="00FA1266"/>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99"/>
    <w:semiHidden/>
    <w:unhideWhenUsed/>
    <w:rsid w:val="00FA1266"/>
    <w:pPr>
      <w:spacing w:after="0" w:line="24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99"/>
    <w:semiHidden/>
    <w:unhideWhenUsed/>
    <w:rsid w:val="00FA1266"/>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99"/>
    <w:semiHidden/>
    <w:unhideWhenUsed/>
    <w:rsid w:val="00FA1266"/>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uiPriority w:val="99"/>
    <w:semiHidden/>
    <w:unhideWhenUsed/>
    <w:rsid w:val="00FA1266"/>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99"/>
    <w:semiHidden/>
    <w:unhideWhenUsed/>
    <w:rsid w:val="00FA1266"/>
    <w:pPr>
      <w:spacing w:after="0" w:line="24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semiHidden/>
    <w:unhideWhenUsed/>
    <w:rsid w:val="00FA1266"/>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uiPriority w:val="99"/>
    <w:semiHidden/>
    <w:unhideWhenUsed/>
    <w:rsid w:val="00FA1266"/>
    <w:pPr>
      <w:spacing w:after="0" w:line="24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99"/>
    <w:semiHidden/>
    <w:unhideWhenUsed/>
    <w:rsid w:val="00FA1266"/>
    <w:pPr>
      <w:spacing w:after="0" w:line="24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99"/>
    <w:semiHidden/>
    <w:unhideWhenUsed/>
    <w:rsid w:val="00FA1266"/>
    <w:pPr>
      <w:spacing w:after="0" w:line="24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99"/>
    <w:semiHidden/>
    <w:unhideWhenUsed/>
    <w:rsid w:val="00FA1266"/>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99"/>
    <w:semiHidden/>
    <w:unhideWhenUsed/>
    <w:rsid w:val="00FA1266"/>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99"/>
    <w:semiHidden/>
    <w:unhideWhenUsed/>
    <w:rsid w:val="00FA1266"/>
    <w:pPr>
      <w:spacing w:after="0" w:line="24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99"/>
    <w:semiHidden/>
    <w:unhideWhenUsed/>
    <w:rsid w:val="00FA1266"/>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99"/>
    <w:semiHidden/>
    <w:unhideWhenUsed/>
    <w:rsid w:val="00FA1266"/>
    <w:pPr>
      <w:spacing w:after="0" w:line="24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uiPriority w:val="99"/>
    <w:semiHidden/>
    <w:unhideWhenUsed/>
    <w:rsid w:val="00FA1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A12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FA126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decuadrcula1clara-nfasis3">
    <w:name w:val="Grid Table 1 Light Accent 3"/>
    <w:basedOn w:val="Tablanormal"/>
    <w:uiPriority w:val="46"/>
    <w:rsid w:val="00FA1266"/>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1clara-nfasis4">
    <w:name w:val="Grid Table 1 Light Accent 4"/>
    <w:basedOn w:val="Tablanormal"/>
    <w:uiPriority w:val="46"/>
    <w:rsid w:val="00FA1266"/>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FA1266"/>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A1266"/>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adecuadrcula1Claro-nfasis2">
    <w:name w:val="Grid Table 1 Light Accent 2"/>
    <w:basedOn w:val="Tablanormal"/>
    <w:uiPriority w:val="46"/>
    <w:rsid w:val="00FA126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decuadrcula2">
    <w:name w:val="Grid Table 2"/>
    <w:basedOn w:val="Tablanormal"/>
    <w:uiPriority w:val="47"/>
    <w:rsid w:val="00FA126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nfasis1">
    <w:name w:val="Grid Table 2 Accent 1"/>
    <w:basedOn w:val="Tablanormal"/>
    <w:uiPriority w:val="47"/>
    <w:rsid w:val="00FA126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cuadrcula2-nfasis2">
    <w:name w:val="Grid Table 2 Accent 2"/>
    <w:basedOn w:val="Tablanormal"/>
    <w:uiPriority w:val="47"/>
    <w:rsid w:val="00FA1266"/>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2-nfasis3">
    <w:name w:val="Grid Table 2 Accent 3"/>
    <w:basedOn w:val="Tablanormal"/>
    <w:uiPriority w:val="47"/>
    <w:rsid w:val="00FA126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cuadrcula2-nfasis4">
    <w:name w:val="Grid Table 2 Accent 4"/>
    <w:basedOn w:val="Tablanormal"/>
    <w:uiPriority w:val="47"/>
    <w:rsid w:val="00FA1266"/>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cuadrcula2-nfasis5">
    <w:name w:val="Grid Table 2 Accent 5"/>
    <w:basedOn w:val="Tablanormal"/>
    <w:uiPriority w:val="47"/>
    <w:rsid w:val="00FA1266"/>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nfasis6">
    <w:name w:val="Grid Table 2 Accent 6"/>
    <w:basedOn w:val="Tablanormal"/>
    <w:uiPriority w:val="47"/>
    <w:rsid w:val="00FA1266"/>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3">
    <w:name w:val="Grid Table 3"/>
    <w:basedOn w:val="Tablanormal"/>
    <w:uiPriority w:val="48"/>
    <w:rsid w:val="00FA12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3-nfasis1">
    <w:name w:val="Grid Table 3 Accent 1"/>
    <w:basedOn w:val="Tablanormal"/>
    <w:uiPriority w:val="48"/>
    <w:rsid w:val="00FA126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decuadrcula3-nfasis2">
    <w:name w:val="Grid Table 3 Accent 2"/>
    <w:basedOn w:val="Tablanormal"/>
    <w:uiPriority w:val="48"/>
    <w:rsid w:val="00FA126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3-nfasis3">
    <w:name w:val="Grid Table 3 Accent 3"/>
    <w:basedOn w:val="Tablanormal"/>
    <w:uiPriority w:val="48"/>
    <w:rsid w:val="00FA126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decuadrcula3-nfasis4">
    <w:name w:val="Grid Table 3 Accent 4"/>
    <w:basedOn w:val="Tablanormal"/>
    <w:uiPriority w:val="48"/>
    <w:rsid w:val="00FA126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decuadrcula3-nfasis5">
    <w:name w:val="Grid Table 3 Accent 5"/>
    <w:basedOn w:val="Tablanormal"/>
    <w:uiPriority w:val="48"/>
    <w:rsid w:val="00FA126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decuadrcula3-nfasis6">
    <w:name w:val="Grid Table 3 Accent 6"/>
    <w:basedOn w:val="Tablanormal"/>
    <w:uiPriority w:val="48"/>
    <w:rsid w:val="00FA126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adecuadrcula4">
    <w:name w:val="Grid Table 4"/>
    <w:basedOn w:val="Tablanormal"/>
    <w:uiPriority w:val="49"/>
    <w:rsid w:val="00FA12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nfasis1">
    <w:name w:val="Grid Table 4 Accent 1"/>
    <w:basedOn w:val="Tablanormal"/>
    <w:uiPriority w:val="49"/>
    <w:rsid w:val="00FA126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cuadrcula4-nfasis2">
    <w:name w:val="Grid Table 4 Accent 2"/>
    <w:basedOn w:val="Tablanormal"/>
    <w:uiPriority w:val="49"/>
    <w:rsid w:val="00FA126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4-nfasis3">
    <w:name w:val="Grid Table 4 Accent 3"/>
    <w:basedOn w:val="Tablanormal"/>
    <w:uiPriority w:val="49"/>
    <w:rsid w:val="00FA126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cuadrcula4-nfasis4">
    <w:name w:val="Grid Table 4 Accent 4"/>
    <w:basedOn w:val="Tablanormal"/>
    <w:uiPriority w:val="49"/>
    <w:rsid w:val="00FA126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cuadrcula4-nfasis5">
    <w:name w:val="Grid Table 4 Accent 5"/>
    <w:basedOn w:val="Tablanormal"/>
    <w:uiPriority w:val="49"/>
    <w:rsid w:val="00FA126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4-nfasis6">
    <w:name w:val="Grid Table 4 Accent 6"/>
    <w:basedOn w:val="Tablanormal"/>
    <w:uiPriority w:val="49"/>
    <w:rsid w:val="00FA126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5oscura">
    <w:name w:val="Grid Table 5 Dark"/>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1">
    <w:name w:val="Grid Table 5 Dark Accent 1"/>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decuadrcula5oscura-nfasis2">
    <w:name w:val="Grid Table 5 Dark Accent 2"/>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adecuadrcula5oscura-nfasis3">
    <w:name w:val="Grid Table 5 Dark Accent 3"/>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cuadrcula5oscura-nfasis4">
    <w:name w:val="Grid Table 5 Dark Accent 4"/>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decuadrcula5oscura-nfasis5">
    <w:name w:val="Grid Table 5 Dark Accent 5"/>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decuadrcula5oscura-nfasis6">
    <w:name w:val="Grid Table 5 Dark Accent 6"/>
    <w:basedOn w:val="Tablanormal"/>
    <w:uiPriority w:val="50"/>
    <w:rsid w:val="00FA12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decuadrcula6concolores">
    <w:name w:val="Grid Table 6 Colorful"/>
    <w:basedOn w:val="Tablanormal"/>
    <w:uiPriority w:val="51"/>
    <w:rsid w:val="00FA126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6concolores-nfasis1">
    <w:name w:val="Grid Table 6 Colorful Accent 1"/>
    <w:basedOn w:val="Tablanormal"/>
    <w:uiPriority w:val="51"/>
    <w:rsid w:val="00FA1266"/>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cuadrcula6concolores-nfasis2">
    <w:name w:val="Grid Table 6 Colorful Accent 2"/>
    <w:basedOn w:val="Tablanormal"/>
    <w:uiPriority w:val="51"/>
    <w:rsid w:val="00FA1266"/>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6concolores-nfasis3">
    <w:name w:val="Grid Table 6 Colorful Accent 3"/>
    <w:basedOn w:val="Tablanormal"/>
    <w:uiPriority w:val="51"/>
    <w:rsid w:val="00FA126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cuadrcula6concolores-nfasis4">
    <w:name w:val="Grid Table 6 Colorful Accent 4"/>
    <w:basedOn w:val="Tablanormal"/>
    <w:uiPriority w:val="51"/>
    <w:rsid w:val="00FA1266"/>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cuadrcula6concolores-nfasis5">
    <w:name w:val="Grid Table 6 Colorful Accent 5"/>
    <w:basedOn w:val="Tablanormal"/>
    <w:uiPriority w:val="51"/>
    <w:rsid w:val="00FA1266"/>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6concolores-nfasis6">
    <w:name w:val="Grid Table 6 Colorful Accent 6"/>
    <w:basedOn w:val="Tablanormal"/>
    <w:uiPriority w:val="51"/>
    <w:rsid w:val="00FA1266"/>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7concolores">
    <w:name w:val="Grid Table 7 Colorful"/>
    <w:basedOn w:val="Tablanormal"/>
    <w:uiPriority w:val="52"/>
    <w:rsid w:val="00FA126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7concolores-nfasis1">
    <w:name w:val="Grid Table 7 Colorful Accent 1"/>
    <w:basedOn w:val="Tablanormal"/>
    <w:uiPriority w:val="52"/>
    <w:rsid w:val="00FA1266"/>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decuadrcula7concolores-nfasis2">
    <w:name w:val="Grid Table 7 Colorful Accent 2"/>
    <w:basedOn w:val="Tablanormal"/>
    <w:uiPriority w:val="52"/>
    <w:rsid w:val="00FA1266"/>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7concolores-nfasis3">
    <w:name w:val="Grid Table 7 Colorful Accent 3"/>
    <w:basedOn w:val="Tablanormal"/>
    <w:uiPriority w:val="52"/>
    <w:rsid w:val="00FA126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decuadrcula7concolores-nfasis4">
    <w:name w:val="Grid Table 7 Colorful Accent 4"/>
    <w:basedOn w:val="Tablanormal"/>
    <w:uiPriority w:val="52"/>
    <w:rsid w:val="00FA1266"/>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decuadrcula7concolores-nfasis5">
    <w:name w:val="Grid Table 7 Colorful Accent 5"/>
    <w:basedOn w:val="Tablanormal"/>
    <w:uiPriority w:val="52"/>
    <w:rsid w:val="00FA1266"/>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decuadrcula7concolores-nfasis6">
    <w:name w:val="Grid Table 7 Colorful Accent 6"/>
    <w:basedOn w:val="Tablanormal"/>
    <w:uiPriority w:val="52"/>
    <w:rsid w:val="00FA1266"/>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paragraph" w:styleId="Tabladeilustraciones">
    <w:name w:val="table of figures"/>
    <w:basedOn w:val="Normal"/>
    <w:next w:val="Normal"/>
    <w:uiPriority w:val="99"/>
    <w:semiHidden/>
    <w:unhideWhenUsed/>
    <w:rsid w:val="00FA1266"/>
  </w:style>
  <w:style w:type="table" w:styleId="Tabladelista1clara">
    <w:name w:val="List Table 1 Light"/>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1">
    <w:name w:val="List Table 1 Light Accent 1"/>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1clara-nfasis2">
    <w:name w:val="List Table 1 Light Accent 2"/>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1clara-nfasis3">
    <w:name w:val="List Table 1 Light Accent 3"/>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1clara-nfasis4">
    <w:name w:val="List Table 1 Light Accent 4"/>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1clara-nfasis5">
    <w:name w:val="List Table 1 Light Accent 5"/>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1clara-nfasis6">
    <w:name w:val="List Table 1 Light Accent 6"/>
    <w:basedOn w:val="Tablanormal"/>
    <w:uiPriority w:val="46"/>
    <w:rsid w:val="00FA1266"/>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2">
    <w:name w:val="List Table 2"/>
    <w:basedOn w:val="Tablanormal"/>
    <w:uiPriority w:val="47"/>
    <w:rsid w:val="00FA12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2-nfasis1">
    <w:name w:val="List Table 2 Accent 1"/>
    <w:basedOn w:val="Tablanormal"/>
    <w:uiPriority w:val="47"/>
    <w:rsid w:val="00FA1266"/>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2-nfasis2">
    <w:name w:val="List Table 2 Accent 2"/>
    <w:basedOn w:val="Tablanormal"/>
    <w:uiPriority w:val="47"/>
    <w:rsid w:val="00FA1266"/>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2-nfasis3">
    <w:name w:val="List Table 2 Accent 3"/>
    <w:basedOn w:val="Tablanormal"/>
    <w:uiPriority w:val="47"/>
    <w:rsid w:val="00FA1266"/>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2-nfasis4">
    <w:name w:val="List Table 2 Accent 4"/>
    <w:basedOn w:val="Tablanormal"/>
    <w:uiPriority w:val="47"/>
    <w:rsid w:val="00FA1266"/>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2-nfasis5">
    <w:name w:val="List Table 2 Accent 5"/>
    <w:basedOn w:val="Tablanormal"/>
    <w:uiPriority w:val="47"/>
    <w:rsid w:val="00FA1266"/>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2-nfasis6">
    <w:name w:val="List Table 2 Accent 6"/>
    <w:basedOn w:val="Tablanormal"/>
    <w:uiPriority w:val="47"/>
    <w:rsid w:val="00FA1266"/>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3">
    <w:name w:val="List Table 3"/>
    <w:basedOn w:val="Tablanormal"/>
    <w:uiPriority w:val="48"/>
    <w:rsid w:val="00FA12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3-nfasis1">
    <w:name w:val="List Table 3 Accent 1"/>
    <w:basedOn w:val="Tablanormal"/>
    <w:uiPriority w:val="48"/>
    <w:rsid w:val="00FA1266"/>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adelista3-nfasis2">
    <w:name w:val="List Table 3 Accent 2"/>
    <w:basedOn w:val="Tablanormal"/>
    <w:uiPriority w:val="48"/>
    <w:rsid w:val="00FA1266"/>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adelista3-nfasis3">
    <w:name w:val="List Table 3 Accent 3"/>
    <w:basedOn w:val="Tablanormal"/>
    <w:uiPriority w:val="48"/>
    <w:rsid w:val="00FA1266"/>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nfasis4">
    <w:name w:val="List Table 3 Accent 4"/>
    <w:basedOn w:val="Tablanormal"/>
    <w:uiPriority w:val="48"/>
    <w:rsid w:val="00FA1266"/>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adelista3-nfasis5">
    <w:name w:val="List Table 3 Accent 5"/>
    <w:basedOn w:val="Tablanormal"/>
    <w:uiPriority w:val="48"/>
    <w:rsid w:val="00FA1266"/>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delista3-nfasis6">
    <w:name w:val="List Table 3 Accent 6"/>
    <w:basedOn w:val="Tablanormal"/>
    <w:uiPriority w:val="48"/>
    <w:rsid w:val="00FA1266"/>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adelista4">
    <w:name w:val="List Table 4"/>
    <w:basedOn w:val="Tablanormal"/>
    <w:uiPriority w:val="49"/>
    <w:rsid w:val="00FA12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1">
    <w:name w:val="List Table 4 Accent 1"/>
    <w:basedOn w:val="Tablanormal"/>
    <w:uiPriority w:val="49"/>
    <w:rsid w:val="00FA126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2">
    <w:name w:val="List Table 4 Accent 2"/>
    <w:basedOn w:val="Tablanormal"/>
    <w:uiPriority w:val="49"/>
    <w:rsid w:val="00FA126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4-nfasis3">
    <w:name w:val="List Table 4 Accent 3"/>
    <w:basedOn w:val="Tablanormal"/>
    <w:uiPriority w:val="49"/>
    <w:rsid w:val="00FA126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4-nfasis4">
    <w:name w:val="List Table 4 Accent 4"/>
    <w:basedOn w:val="Tablanormal"/>
    <w:uiPriority w:val="49"/>
    <w:rsid w:val="00FA126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4-nfasis5">
    <w:name w:val="List Table 4 Accent 5"/>
    <w:basedOn w:val="Tablanormal"/>
    <w:uiPriority w:val="49"/>
    <w:rsid w:val="00FA126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4-nfasis6">
    <w:name w:val="List Table 4 Accent 6"/>
    <w:basedOn w:val="Tablanormal"/>
    <w:uiPriority w:val="49"/>
    <w:rsid w:val="00FA126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5oscura">
    <w:name w:val="List Table 5 Dark"/>
    <w:basedOn w:val="Tablanormal"/>
    <w:uiPriority w:val="50"/>
    <w:rsid w:val="00FA12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1">
    <w:name w:val="List Table 5 Dark Accent 1"/>
    <w:basedOn w:val="Tablanormal"/>
    <w:uiPriority w:val="50"/>
    <w:rsid w:val="00FA1266"/>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2">
    <w:name w:val="List Table 5 Dark Accent 2"/>
    <w:basedOn w:val="Tablanormal"/>
    <w:uiPriority w:val="50"/>
    <w:rsid w:val="00FA1266"/>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3">
    <w:name w:val="List Table 5 Dark Accent 3"/>
    <w:basedOn w:val="Tablanormal"/>
    <w:uiPriority w:val="50"/>
    <w:rsid w:val="00FA1266"/>
    <w:pPr>
      <w:spacing w:after="0"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4">
    <w:name w:val="List Table 5 Dark Accent 4"/>
    <w:basedOn w:val="Tablanormal"/>
    <w:uiPriority w:val="50"/>
    <w:rsid w:val="00FA1266"/>
    <w:pPr>
      <w:spacing w:after="0"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5">
    <w:name w:val="List Table 5 Dark Accent 5"/>
    <w:basedOn w:val="Tablanormal"/>
    <w:uiPriority w:val="50"/>
    <w:rsid w:val="00FA1266"/>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6">
    <w:name w:val="List Table 5 Dark Accent 6"/>
    <w:basedOn w:val="Tablanormal"/>
    <w:uiPriority w:val="50"/>
    <w:rsid w:val="00FA1266"/>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6concolores">
    <w:name w:val="List Table 6 Colorful"/>
    <w:basedOn w:val="Tablanormal"/>
    <w:uiPriority w:val="51"/>
    <w:rsid w:val="00FA12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1">
    <w:name w:val="List Table 6 Colorful Accent 1"/>
    <w:basedOn w:val="Tablanormal"/>
    <w:uiPriority w:val="51"/>
    <w:rsid w:val="00FA1266"/>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6concolores-nfasis2">
    <w:name w:val="List Table 6 Colorful Accent 2"/>
    <w:basedOn w:val="Tablanormal"/>
    <w:uiPriority w:val="51"/>
    <w:rsid w:val="00FA1266"/>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6concolores-nfasis3">
    <w:name w:val="List Table 6 Colorful Accent 3"/>
    <w:basedOn w:val="Tablanormal"/>
    <w:uiPriority w:val="51"/>
    <w:rsid w:val="00FA1266"/>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6concolores-nfasis4">
    <w:name w:val="List Table 6 Colorful Accent 4"/>
    <w:basedOn w:val="Tablanormal"/>
    <w:uiPriority w:val="51"/>
    <w:rsid w:val="00FA1266"/>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6concolores-nfasis5">
    <w:name w:val="List Table 6 Colorful Accent 5"/>
    <w:basedOn w:val="Tablanormal"/>
    <w:uiPriority w:val="51"/>
    <w:rsid w:val="00FA1266"/>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6concolores-nfasis6">
    <w:name w:val="List Table 6 Colorful Accent 6"/>
    <w:basedOn w:val="Tablanormal"/>
    <w:uiPriority w:val="51"/>
    <w:rsid w:val="00FA1266"/>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7concolores">
    <w:name w:val="List Table 7 Colorful"/>
    <w:basedOn w:val="Tablanormal"/>
    <w:uiPriority w:val="52"/>
    <w:rsid w:val="00FA12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1">
    <w:name w:val="List Table 7 Colorful Accent 1"/>
    <w:basedOn w:val="Tablanormal"/>
    <w:uiPriority w:val="52"/>
    <w:rsid w:val="00FA1266"/>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2">
    <w:name w:val="List Table 7 Colorful Accent 2"/>
    <w:basedOn w:val="Tablanormal"/>
    <w:uiPriority w:val="52"/>
    <w:rsid w:val="00FA1266"/>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3">
    <w:name w:val="List Table 7 Colorful Accent 3"/>
    <w:basedOn w:val="Tablanormal"/>
    <w:uiPriority w:val="52"/>
    <w:rsid w:val="00FA1266"/>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4">
    <w:name w:val="List Table 7 Colorful Accent 4"/>
    <w:basedOn w:val="Tablanormal"/>
    <w:uiPriority w:val="52"/>
    <w:rsid w:val="00FA1266"/>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5">
    <w:name w:val="List Table 7 Colorful Accent 5"/>
    <w:basedOn w:val="Tablanormal"/>
    <w:uiPriority w:val="52"/>
    <w:rsid w:val="00FA1266"/>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FA1266"/>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elegante">
    <w:name w:val="Table Elegant"/>
    <w:basedOn w:val="Tablanormal"/>
    <w:uiPriority w:val="99"/>
    <w:semiHidden/>
    <w:unhideWhenUsed/>
    <w:rsid w:val="00FA1266"/>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uiPriority w:val="99"/>
    <w:semiHidden/>
    <w:unhideWhenUsed/>
    <w:rsid w:val="00FA1266"/>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normal1">
    <w:name w:val="Plain Table 1"/>
    <w:basedOn w:val="Tablanormal"/>
    <w:uiPriority w:val="41"/>
    <w:rsid w:val="00FA12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FA126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FA126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FA126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FA126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profesional">
    <w:name w:val="Table Professional"/>
    <w:basedOn w:val="Tablanormal"/>
    <w:uiPriority w:val="99"/>
    <w:semiHidden/>
    <w:unhideWhenUsed/>
    <w:rsid w:val="00FA1266"/>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99"/>
    <w:semiHidden/>
    <w:unhideWhenUsed/>
    <w:rsid w:val="00FA1266"/>
    <w:pPr>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99"/>
    <w:semiHidden/>
    <w:unhideWhenUsed/>
    <w:rsid w:val="00FA1266"/>
    <w:pPr>
      <w:spacing w:after="0" w:line="24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uiPriority w:val="99"/>
    <w:semiHidden/>
    <w:unhideWhenUsed/>
    <w:rsid w:val="00FA1266"/>
    <w:pPr>
      <w:spacing w:after="0" w:line="24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99"/>
    <w:semiHidden/>
    <w:unhideWhenUsed/>
    <w:rsid w:val="00FA1266"/>
    <w:pPr>
      <w:spacing w:after="0" w:line="24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99"/>
    <w:semiHidden/>
    <w:unhideWhenUsed/>
    <w:rsid w:val="00FA1266"/>
    <w:pPr>
      <w:spacing w:after="0" w:line="24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uiPriority w:val="99"/>
    <w:semiHidden/>
    <w:unhideWhenUsed/>
    <w:rsid w:val="00FA1266"/>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FA1266"/>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uiPriority w:val="99"/>
    <w:semiHidden/>
    <w:unhideWhenUsed/>
    <w:rsid w:val="00FA1266"/>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DC1">
    <w:name w:val="toc 1"/>
    <w:basedOn w:val="Normal"/>
    <w:next w:val="Normal"/>
    <w:uiPriority w:val="39"/>
    <w:semiHidden/>
    <w:unhideWhenUsed/>
    <w:rsid w:val="00FA1266"/>
    <w:pPr>
      <w:spacing w:after="100"/>
    </w:pPr>
  </w:style>
  <w:style w:type="paragraph" w:styleId="TDC2">
    <w:name w:val="toc 2"/>
    <w:basedOn w:val="Normal"/>
    <w:next w:val="Normal"/>
    <w:uiPriority w:val="39"/>
    <w:semiHidden/>
    <w:unhideWhenUsed/>
    <w:rsid w:val="00FA1266"/>
    <w:pPr>
      <w:spacing w:after="100"/>
      <w:ind w:left="240"/>
    </w:pPr>
  </w:style>
  <w:style w:type="paragraph" w:styleId="TDC3">
    <w:name w:val="toc 3"/>
    <w:basedOn w:val="Normal"/>
    <w:next w:val="Normal"/>
    <w:uiPriority w:val="39"/>
    <w:semiHidden/>
    <w:unhideWhenUsed/>
    <w:rsid w:val="00FA1266"/>
    <w:pPr>
      <w:spacing w:after="100"/>
      <w:ind w:left="480"/>
    </w:pPr>
  </w:style>
  <w:style w:type="paragraph" w:styleId="TDC4">
    <w:name w:val="toc 4"/>
    <w:basedOn w:val="Normal"/>
    <w:next w:val="Normal"/>
    <w:uiPriority w:val="39"/>
    <w:semiHidden/>
    <w:unhideWhenUsed/>
    <w:rsid w:val="00FA1266"/>
    <w:pPr>
      <w:spacing w:after="100"/>
      <w:ind w:left="720"/>
    </w:pPr>
  </w:style>
  <w:style w:type="paragraph" w:styleId="TDC5">
    <w:name w:val="toc 5"/>
    <w:basedOn w:val="Normal"/>
    <w:next w:val="Normal"/>
    <w:uiPriority w:val="39"/>
    <w:semiHidden/>
    <w:unhideWhenUsed/>
    <w:rsid w:val="00FA1266"/>
    <w:pPr>
      <w:spacing w:after="100"/>
      <w:ind w:left="960"/>
    </w:pPr>
  </w:style>
  <w:style w:type="paragraph" w:styleId="TDC6">
    <w:name w:val="toc 6"/>
    <w:basedOn w:val="Normal"/>
    <w:next w:val="Normal"/>
    <w:uiPriority w:val="39"/>
    <w:semiHidden/>
    <w:unhideWhenUsed/>
    <w:rsid w:val="00FA1266"/>
    <w:pPr>
      <w:spacing w:after="100"/>
      <w:ind w:left="1200"/>
    </w:pPr>
  </w:style>
  <w:style w:type="paragraph" w:styleId="TDC7">
    <w:name w:val="toc 7"/>
    <w:basedOn w:val="Normal"/>
    <w:next w:val="Normal"/>
    <w:uiPriority w:val="39"/>
    <w:semiHidden/>
    <w:unhideWhenUsed/>
    <w:rsid w:val="00FA1266"/>
    <w:pPr>
      <w:spacing w:after="100"/>
      <w:ind w:left="1440"/>
    </w:pPr>
  </w:style>
  <w:style w:type="paragraph" w:styleId="TDC8">
    <w:name w:val="toc 8"/>
    <w:basedOn w:val="Normal"/>
    <w:next w:val="Normal"/>
    <w:uiPriority w:val="39"/>
    <w:semiHidden/>
    <w:unhideWhenUsed/>
    <w:rsid w:val="00FA1266"/>
    <w:pPr>
      <w:spacing w:after="100"/>
      <w:ind w:left="1680"/>
    </w:pPr>
  </w:style>
  <w:style w:type="paragraph" w:styleId="TDC9">
    <w:name w:val="toc 9"/>
    <w:basedOn w:val="Normal"/>
    <w:next w:val="Normal"/>
    <w:uiPriority w:val="39"/>
    <w:semiHidden/>
    <w:unhideWhenUsed/>
    <w:rsid w:val="00FA1266"/>
    <w:pPr>
      <w:spacing w:after="100"/>
      <w:ind w:left="1920"/>
    </w:pPr>
  </w:style>
  <w:style w:type="character" w:styleId="TecladoHTML">
    <w:name w:val="HTML Keyboard"/>
    <w:basedOn w:val="Fuentedeprrafopredeter"/>
    <w:uiPriority w:val="99"/>
    <w:semiHidden/>
    <w:unhideWhenUsed/>
    <w:rsid w:val="00FA1266"/>
    <w:rPr>
      <w:rFonts w:ascii="Consolas" w:hAnsi="Consolas"/>
      <w:sz w:val="20"/>
      <w:szCs w:val="20"/>
    </w:rPr>
  </w:style>
  <w:style w:type="paragraph" w:styleId="Textoconsangra">
    <w:name w:val="table of authorities"/>
    <w:basedOn w:val="Normal"/>
    <w:next w:val="Normal"/>
    <w:uiPriority w:val="99"/>
    <w:semiHidden/>
    <w:unhideWhenUsed/>
    <w:rsid w:val="00FA1266"/>
    <w:pPr>
      <w:ind w:left="240" w:hanging="240"/>
    </w:pPr>
  </w:style>
  <w:style w:type="paragraph" w:styleId="Textodebloque">
    <w:name w:val="Block Text"/>
    <w:basedOn w:val="Normal"/>
    <w:uiPriority w:val="99"/>
    <w:semiHidden/>
    <w:unhideWhenUsed/>
    <w:rsid w:val="00FA1266"/>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odeglobo">
    <w:name w:val="Balloon Text"/>
    <w:basedOn w:val="Normal"/>
    <w:link w:val="TextodegloboCar"/>
    <w:uiPriority w:val="99"/>
    <w:semiHidden/>
    <w:unhideWhenUsed/>
    <w:rsid w:val="00FA12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1266"/>
    <w:rPr>
      <w:rFonts w:ascii="Segoe UI" w:eastAsia="Times New Roman" w:hAnsi="Segoe UI" w:cs="Segoe UI"/>
      <w:sz w:val="18"/>
      <w:szCs w:val="18"/>
      <w:lang w:val="es-AR" w:eastAsia="es-ES"/>
    </w:rPr>
  </w:style>
  <w:style w:type="character" w:styleId="Textodelmarcadordeposicin">
    <w:name w:val="Placeholder Text"/>
    <w:basedOn w:val="Fuentedeprrafopredeter"/>
    <w:uiPriority w:val="99"/>
    <w:semiHidden/>
    <w:rsid w:val="00FA1266"/>
    <w:rPr>
      <w:color w:val="808080"/>
    </w:rPr>
  </w:style>
  <w:style w:type="character" w:styleId="Textoennegrita">
    <w:name w:val="Strong"/>
    <w:basedOn w:val="Fuentedeprrafopredeter"/>
    <w:uiPriority w:val="22"/>
    <w:qFormat/>
    <w:rsid w:val="00FA1266"/>
    <w:rPr>
      <w:b/>
      <w:bCs/>
    </w:rPr>
  </w:style>
  <w:style w:type="paragraph" w:styleId="Textoindependiente">
    <w:name w:val="Body Text"/>
    <w:basedOn w:val="Normal"/>
    <w:link w:val="TextoindependienteCar"/>
    <w:uiPriority w:val="99"/>
    <w:semiHidden/>
    <w:unhideWhenUsed/>
    <w:rsid w:val="00FA1266"/>
    <w:pPr>
      <w:spacing w:after="120"/>
    </w:pPr>
  </w:style>
  <w:style w:type="character" w:customStyle="1" w:styleId="TextoindependienteCar">
    <w:name w:val="Texto independiente Car"/>
    <w:basedOn w:val="Fuentedeprrafopredeter"/>
    <w:link w:val="Textoindependiente"/>
    <w:uiPriority w:val="99"/>
    <w:semiHidden/>
    <w:rsid w:val="00FA1266"/>
    <w:rPr>
      <w:rFonts w:ascii="Courier New" w:eastAsia="Times New Roman" w:hAnsi="Courier New" w:cs="Courier New"/>
      <w:sz w:val="24"/>
      <w:szCs w:val="20"/>
      <w:lang w:val="es-AR" w:eastAsia="es-ES"/>
    </w:rPr>
  </w:style>
  <w:style w:type="paragraph" w:styleId="Textoindependiente2">
    <w:name w:val="Body Text 2"/>
    <w:basedOn w:val="Normal"/>
    <w:link w:val="Textoindependiente2Car"/>
    <w:uiPriority w:val="99"/>
    <w:semiHidden/>
    <w:unhideWhenUsed/>
    <w:rsid w:val="00FA1266"/>
    <w:pPr>
      <w:spacing w:after="120" w:line="480" w:lineRule="auto"/>
    </w:pPr>
  </w:style>
  <w:style w:type="character" w:customStyle="1" w:styleId="Textoindependiente2Car">
    <w:name w:val="Texto independiente 2 Car"/>
    <w:basedOn w:val="Fuentedeprrafopredeter"/>
    <w:link w:val="Textoindependiente2"/>
    <w:uiPriority w:val="99"/>
    <w:semiHidden/>
    <w:rsid w:val="00FA1266"/>
    <w:rPr>
      <w:rFonts w:ascii="Courier New" w:eastAsia="Times New Roman" w:hAnsi="Courier New" w:cs="Courier New"/>
      <w:sz w:val="24"/>
      <w:szCs w:val="20"/>
      <w:lang w:val="es-AR" w:eastAsia="es-ES"/>
    </w:rPr>
  </w:style>
  <w:style w:type="paragraph" w:styleId="Textoindependiente3">
    <w:name w:val="Body Text 3"/>
    <w:basedOn w:val="Normal"/>
    <w:link w:val="Textoindependiente3Car"/>
    <w:uiPriority w:val="99"/>
    <w:semiHidden/>
    <w:unhideWhenUsed/>
    <w:rsid w:val="00FA126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A1266"/>
    <w:rPr>
      <w:rFonts w:ascii="Courier New" w:eastAsia="Times New Roman" w:hAnsi="Courier New" w:cs="Courier New"/>
      <w:sz w:val="16"/>
      <w:szCs w:val="16"/>
      <w:lang w:val="es-AR" w:eastAsia="es-ES"/>
    </w:rPr>
  </w:style>
  <w:style w:type="paragraph" w:styleId="Textoindependienteprimerasangra">
    <w:name w:val="Body Text First Indent"/>
    <w:basedOn w:val="Textoindependiente"/>
    <w:link w:val="TextoindependienteprimerasangraCar"/>
    <w:uiPriority w:val="99"/>
    <w:semiHidden/>
    <w:unhideWhenUsed/>
    <w:rsid w:val="00FA1266"/>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FA1266"/>
    <w:rPr>
      <w:rFonts w:ascii="Courier New" w:eastAsia="Times New Roman" w:hAnsi="Courier New" w:cs="Courier New"/>
      <w:sz w:val="24"/>
      <w:szCs w:val="20"/>
      <w:lang w:val="es-AR" w:eastAsia="es-ES"/>
    </w:rPr>
  </w:style>
  <w:style w:type="paragraph" w:styleId="Textoindependienteprimerasangra2">
    <w:name w:val="Body Text First Indent 2"/>
    <w:basedOn w:val="Sangradetextonormal"/>
    <w:link w:val="Textoindependienteprimerasangra2Car"/>
    <w:uiPriority w:val="99"/>
    <w:semiHidden/>
    <w:unhideWhenUsed/>
    <w:rsid w:val="00FA126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FA1266"/>
    <w:rPr>
      <w:rFonts w:ascii="Courier New" w:eastAsia="Times New Roman" w:hAnsi="Courier New" w:cs="Courier New"/>
      <w:sz w:val="24"/>
      <w:szCs w:val="20"/>
      <w:lang w:val="es-AR" w:eastAsia="es-ES"/>
    </w:rPr>
  </w:style>
  <w:style w:type="paragraph" w:styleId="Textomacro">
    <w:name w:val="macro"/>
    <w:link w:val="TextomacroCar"/>
    <w:uiPriority w:val="99"/>
    <w:semiHidden/>
    <w:unhideWhenUsed/>
    <w:rsid w:val="00FA12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urier New"/>
      <w:sz w:val="20"/>
      <w:szCs w:val="20"/>
      <w:lang w:val="es-AR" w:eastAsia="es-ES"/>
    </w:rPr>
  </w:style>
  <w:style w:type="character" w:customStyle="1" w:styleId="TextomacroCar">
    <w:name w:val="Texto macro Car"/>
    <w:basedOn w:val="Fuentedeprrafopredeter"/>
    <w:link w:val="Textomacro"/>
    <w:uiPriority w:val="99"/>
    <w:semiHidden/>
    <w:rsid w:val="00FA1266"/>
    <w:rPr>
      <w:rFonts w:ascii="Consolas" w:eastAsia="Times New Roman" w:hAnsi="Consolas" w:cs="Courier New"/>
      <w:sz w:val="20"/>
      <w:szCs w:val="20"/>
      <w:lang w:val="es-AR" w:eastAsia="es-ES"/>
    </w:rPr>
  </w:style>
  <w:style w:type="paragraph" w:styleId="Textonotaalfinal">
    <w:name w:val="endnote text"/>
    <w:basedOn w:val="Normal"/>
    <w:link w:val="TextonotaalfinalCar"/>
    <w:uiPriority w:val="99"/>
    <w:semiHidden/>
    <w:unhideWhenUsed/>
    <w:rsid w:val="00FA1266"/>
    <w:rPr>
      <w:sz w:val="20"/>
    </w:rPr>
  </w:style>
  <w:style w:type="character" w:customStyle="1" w:styleId="TextonotaalfinalCar">
    <w:name w:val="Texto nota al final Car"/>
    <w:basedOn w:val="Fuentedeprrafopredeter"/>
    <w:link w:val="Textonotaalfinal"/>
    <w:uiPriority w:val="99"/>
    <w:semiHidden/>
    <w:rsid w:val="00FA1266"/>
    <w:rPr>
      <w:rFonts w:ascii="Courier New" w:eastAsia="Times New Roman" w:hAnsi="Courier New" w:cs="Courier New"/>
      <w:sz w:val="20"/>
      <w:szCs w:val="20"/>
      <w:lang w:val="es-AR" w:eastAsia="es-ES"/>
    </w:rPr>
  </w:style>
  <w:style w:type="paragraph" w:styleId="Textonotapie">
    <w:name w:val="footnote text"/>
    <w:basedOn w:val="Normal"/>
    <w:link w:val="TextonotapieCar"/>
    <w:uiPriority w:val="99"/>
    <w:semiHidden/>
    <w:unhideWhenUsed/>
    <w:rsid w:val="00FA1266"/>
    <w:rPr>
      <w:sz w:val="20"/>
    </w:rPr>
  </w:style>
  <w:style w:type="character" w:customStyle="1" w:styleId="TextonotapieCar">
    <w:name w:val="Texto nota pie Car"/>
    <w:basedOn w:val="Fuentedeprrafopredeter"/>
    <w:link w:val="Textonotapie"/>
    <w:uiPriority w:val="99"/>
    <w:semiHidden/>
    <w:rsid w:val="00FA1266"/>
    <w:rPr>
      <w:rFonts w:ascii="Courier New" w:eastAsia="Times New Roman" w:hAnsi="Courier New" w:cs="Courier New"/>
      <w:sz w:val="20"/>
      <w:szCs w:val="20"/>
      <w:lang w:val="es-AR" w:eastAsia="es-ES"/>
    </w:rPr>
  </w:style>
  <w:style w:type="paragraph" w:styleId="Textosinformato">
    <w:name w:val="Plain Text"/>
    <w:basedOn w:val="Normal"/>
    <w:link w:val="TextosinformatoCar"/>
    <w:uiPriority w:val="99"/>
    <w:semiHidden/>
    <w:unhideWhenUsed/>
    <w:rsid w:val="00FA1266"/>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FA1266"/>
    <w:rPr>
      <w:rFonts w:ascii="Consolas" w:eastAsia="Times New Roman" w:hAnsi="Consolas" w:cs="Courier New"/>
      <w:sz w:val="21"/>
      <w:szCs w:val="21"/>
      <w:lang w:val="es-AR" w:eastAsia="es-ES"/>
    </w:rPr>
  </w:style>
  <w:style w:type="paragraph" w:styleId="Ttulodendice">
    <w:name w:val="index heading"/>
    <w:basedOn w:val="Normal"/>
    <w:next w:val="ndice1"/>
    <w:uiPriority w:val="99"/>
    <w:semiHidden/>
    <w:unhideWhenUsed/>
    <w:rsid w:val="00FA1266"/>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FA1266"/>
    <w:pPr>
      <w:outlineLvl w:val="9"/>
    </w:pPr>
  </w:style>
  <w:style w:type="character" w:styleId="Ttulodellibro">
    <w:name w:val="Book Title"/>
    <w:basedOn w:val="Fuentedeprrafopredeter"/>
    <w:uiPriority w:val="33"/>
    <w:qFormat/>
    <w:rsid w:val="00FA1266"/>
    <w:rPr>
      <w:b/>
      <w:bCs/>
      <w:i/>
      <w:iCs/>
      <w:spacing w:val="5"/>
    </w:rPr>
  </w:style>
  <w:style w:type="character" w:styleId="VariableHTML">
    <w:name w:val="HTML Variable"/>
    <w:basedOn w:val="Fuentedeprrafopredeter"/>
    <w:uiPriority w:val="99"/>
    <w:semiHidden/>
    <w:unhideWhenUsed/>
    <w:rsid w:val="00FA1266"/>
    <w:rPr>
      <w:i/>
      <w:iCs/>
    </w:rPr>
  </w:style>
  <w:style w:type="paragraph" w:styleId="Revisin">
    <w:name w:val="Revision"/>
    <w:hidden/>
    <w:uiPriority w:val="99"/>
    <w:semiHidden/>
    <w:rsid w:val="006C1CC9"/>
    <w:pPr>
      <w:spacing w:after="0" w:line="240" w:lineRule="auto"/>
    </w:pPr>
    <w:rPr>
      <w:rFonts w:ascii="Courier New" w:eastAsia="Times New Roman" w:hAnsi="Courier New" w:cs="Courier New"/>
      <w:sz w:val="24"/>
      <w:szCs w:val="20"/>
      <w:lang w:val="es-A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13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2617C3F9-1F86-438F-B27D-A08F3FC3E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1</Pages>
  <Words>5634</Words>
  <Characters>30990</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Hernan Siadore</dc:creator>
  <cp:lastModifiedBy>Cristian Vatalaro</cp:lastModifiedBy>
  <cp:revision>13</cp:revision>
  <cp:lastPrinted>2019-09-27T14:58:00Z</cp:lastPrinted>
  <dcterms:created xsi:type="dcterms:W3CDTF">2019-09-24T14:43:00Z</dcterms:created>
  <dcterms:modified xsi:type="dcterms:W3CDTF">2019-10-24T13:54:00Z</dcterms:modified>
</cp:coreProperties>
</file>